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0.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1.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2.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13.xml" ContentType="application/vnd.openxmlformats-officedocument.themeOverrid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14.xml" ContentType="application/vnd.openxmlformats-officedocument.themeOverrid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15.xml" ContentType="application/vnd.openxmlformats-officedocument.themeOverrid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theme/themeOverride16.xml" ContentType="application/vnd.openxmlformats-officedocument.themeOverrid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theme/themeOverride17.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B6698A" w14:textId="4490B30C" w:rsidR="00161420" w:rsidRPr="005B188F" w:rsidRDefault="00292EAA" w:rsidP="00292EAA">
      <w:pPr>
        <w:jc w:val="center"/>
        <w:rPr>
          <w:rFonts w:asciiTheme="majorHAnsi" w:hAnsiTheme="majorHAnsi" w:cstheme="majorHAnsi"/>
          <w:b/>
          <w:sz w:val="24"/>
          <w:szCs w:val="24"/>
        </w:rPr>
      </w:pPr>
      <w:r w:rsidRPr="005B188F">
        <w:rPr>
          <w:rFonts w:asciiTheme="majorHAnsi" w:hAnsiTheme="majorHAnsi" w:cstheme="majorHAnsi"/>
          <w:b/>
          <w:sz w:val="24"/>
          <w:szCs w:val="24"/>
        </w:rPr>
        <w:t>EQUASS REZULTATAI 2024 M.</w:t>
      </w:r>
    </w:p>
    <w:p w14:paraId="2669C5D7" w14:textId="77777777" w:rsidR="00292EAA" w:rsidRPr="00292EAA" w:rsidRDefault="00292EAA" w:rsidP="00292EAA">
      <w:pPr>
        <w:numPr>
          <w:ilvl w:val="0"/>
          <w:numId w:val="1"/>
        </w:numPr>
        <w:jc w:val="center"/>
        <w:rPr>
          <w:rFonts w:ascii="Calibri Light" w:eastAsia="Calibri" w:hAnsi="Calibri Light" w:cs="Calibri Light"/>
          <w:b/>
          <w:sz w:val="24"/>
          <w:szCs w:val="24"/>
        </w:rPr>
      </w:pPr>
      <w:r w:rsidRPr="005B188F">
        <w:rPr>
          <w:rFonts w:ascii="Calibri Light" w:eastAsia="Calibri" w:hAnsi="Calibri Light" w:cs="Calibri Light"/>
          <w:noProof/>
          <w:sz w:val="20"/>
          <w:szCs w:val="20"/>
          <w:lang w:val="en-US"/>
        </w:rPr>
        <w:drawing>
          <wp:anchor distT="0" distB="0" distL="114300" distR="114300" simplePos="0" relativeHeight="251660288" behindDoc="1" locked="0" layoutInCell="1" allowOverlap="1" wp14:anchorId="66D07801" wp14:editId="0902CC1D">
            <wp:simplePos x="0" y="0"/>
            <wp:positionH relativeFrom="column">
              <wp:posOffset>-54610</wp:posOffset>
            </wp:positionH>
            <wp:positionV relativeFrom="paragraph">
              <wp:posOffset>1705610</wp:posOffset>
            </wp:positionV>
            <wp:extent cx="6182360" cy="1741170"/>
            <wp:effectExtent l="0" t="0" r="8890" b="11430"/>
            <wp:wrapTight wrapText="bothSides">
              <wp:wrapPolygon edited="0">
                <wp:start x="0" y="0"/>
                <wp:lineTo x="0" y="21505"/>
                <wp:lineTo x="21565" y="21505"/>
                <wp:lineTo x="21565" y="0"/>
                <wp:lineTo x="0" y="0"/>
              </wp:wrapPolygon>
            </wp:wrapTight>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14:sizeRelH relativeFrom="margin">
              <wp14:pctWidth>0</wp14:pctWidth>
            </wp14:sizeRelH>
            <wp14:sizeRelV relativeFrom="margin">
              <wp14:pctHeight>0</wp14:pctHeight>
            </wp14:sizeRelV>
          </wp:anchor>
        </w:drawing>
      </w:r>
      <w:bookmarkStart w:id="0" w:name="_Hlk182569882"/>
      <w:r w:rsidRPr="00292EAA">
        <w:rPr>
          <w:rFonts w:ascii="Calibri Light" w:eastAsia="Calibri" w:hAnsi="Calibri Light" w:cs="Calibri Light"/>
          <w:b/>
          <w:sz w:val="24"/>
          <w:szCs w:val="24"/>
        </w:rPr>
        <w:t>DARBUOTOJŲ ASMENINIO UGDYMOSI, NUOLATINIO MOKYMOSI IR TOBULĖJIMO REZULTATAI 2024 M</w:t>
      </w:r>
      <w:bookmarkEnd w:id="0"/>
      <w:r w:rsidRPr="00292EAA">
        <w:rPr>
          <w:rFonts w:ascii="Calibri Light" w:eastAsia="Calibri" w:hAnsi="Calibri Light" w:cs="Calibri Light"/>
          <w:b/>
          <w:sz w:val="24"/>
          <w:szCs w:val="24"/>
        </w:rPr>
        <w:t>.</w:t>
      </w:r>
    </w:p>
    <w:tbl>
      <w:tblPr>
        <w:tblStyle w:val="Lentelstinklelis"/>
        <w:tblW w:w="0" w:type="auto"/>
        <w:tblLook w:val="04A0" w:firstRow="1" w:lastRow="0" w:firstColumn="1" w:lastColumn="0" w:noHBand="0" w:noVBand="1"/>
      </w:tblPr>
      <w:tblGrid>
        <w:gridCol w:w="1838"/>
        <w:gridCol w:w="7790"/>
      </w:tblGrid>
      <w:tr w:rsidR="00292EAA" w:rsidRPr="00292EAA" w14:paraId="2C5EC53E" w14:textId="77777777" w:rsidTr="002C0ADB">
        <w:tc>
          <w:tcPr>
            <w:tcW w:w="1838" w:type="dxa"/>
            <w:vAlign w:val="center"/>
          </w:tcPr>
          <w:p w14:paraId="42D7832D" w14:textId="77777777" w:rsidR="00292EAA" w:rsidRPr="00292EAA" w:rsidRDefault="00292EAA" w:rsidP="00292EAA">
            <w:pPr>
              <w:jc w:val="both"/>
              <w:rPr>
                <w:rFonts w:ascii="Calibri Light" w:eastAsia="Calibri" w:hAnsi="Calibri Light" w:cs="Calibri Light"/>
                <w:b/>
              </w:rPr>
            </w:pPr>
            <w:bookmarkStart w:id="1" w:name="_Hlk182569922"/>
            <w:r w:rsidRPr="00292EAA">
              <w:rPr>
                <w:rFonts w:ascii="Calibri Light" w:eastAsia="Calibri" w:hAnsi="Calibri Light" w:cs="Calibri Light"/>
                <w:b/>
              </w:rPr>
              <w:t>9 kriterijus</w:t>
            </w:r>
          </w:p>
        </w:tc>
        <w:tc>
          <w:tcPr>
            <w:tcW w:w="7791" w:type="dxa"/>
          </w:tcPr>
          <w:p w14:paraId="60D0266B" w14:textId="77777777" w:rsidR="00292EAA" w:rsidRPr="00292EAA" w:rsidRDefault="00292EAA" w:rsidP="00292EAA">
            <w:pPr>
              <w:jc w:val="both"/>
              <w:rPr>
                <w:rFonts w:ascii="Calibri Light" w:eastAsia="Calibri" w:hAnsi="Calibri Light" w:cs="Calibri Light"/>
              </w:rPr>
            </w:pPr>
            <w:r w:rsidRPr="00292EAA">
              <w:rPr>
                <w:rFonts w:ascii="Calibri Light" w:eastAsia="Calibri" w:hAnsi="Calibri Light" w:cs="Calibri Light"/>
              </w:rPr>
              <w:t>Socialinių paslaugų teikėjai taiko personalo kvalifikacijos kėlimo priemones, remdamasis asmeninio ugdymo, nuolatinio mokymosi ir tobulėjimo planu.</w:t>
            </w:r>
          </w:p>
        </w:tc>
      </w:tr>
      <w:tr w:rsidR="00292EAA" w:rsidRPr="00292EAA" w14:paraId="0CA25065" w14:textId="77777777" w:rsidTr="002C0ADB">
        <w:tc>
          <w:tcPr>
            <w:tcW w:w="1838" w:type="dxa"/>
            <w:vAlign w:val="center"/>
          </w:tcPr>
          <w:p w14:paraId="4AC1A45A" w14:textId="77777777" w:rsidR="00292EAA" w:rsidRPr="00292EAA" w:rsidRDefault="00292EAA" w:rsidP="00292EAA">
            <w:pPr>
              <w:jc w:val="both"/>
              <w:rPr>
                <w:rFonts w:ascii="Calibri Light" w:eastAsia="Calibri" w:hAnsi="Calibri Light" w:cs="Calibri Light"/>
                <w:b/>
              </w:rPr>
            </w:pPr>
            <w:r w:rsidRPr="00292EAA">
              <w:rPr>
                <w:rFonts w:ascii="Calibri Light" w:eastAsia="Calibri" w:hAnsi="Calibri Light" w:cs="Calibri Light"/>
                <w:b/>
              </w:rPr>
              <w:t>Rodikliai</w:t>
            </w:r>
          </w:p>
        </w:tc>
        <w:tc>
          <w:tcPr>
            <w:tcW w:w="7791" w:type="dxa"/>
          </w:tcPr>
          <w:p w14:paraId="01CAFFD1" w14:textId="77777777" w:rsidR="00292EAA" w:rsidRPr="00292EAA" w:rsidRDefault="00292EAA" w:rsidP="00292EAA">
            <w:pPr>
              <w:numPr>
                <w:ilvl w:val="0"/>
                <w:numId w:val="2"/>
              </w:numPr>
              <w:contextualSpacing/>
              <w:jc w:val="both"/>
              <w:rPr>
                <w:rFonts w:ascii="Calibri Light" w:eastAsia="Calibri" w:hAnsi="Calibri Light" w:cs="Calibri Light"/>
                <w:b/>
              </w:rPr>
            </w:pPr>
            <w:r w:rsidRPr="00292EAA">
              <w:rPr>
                <w:rFonts w:ascii="Calibri Light" w:eastAsia="Calibri" w:hAnsi="Calibri Light" w:cs="Calibri Light"/>
                <w:b/>
              </w:rPr>
              <w:t>2024 m. I – III ketvirtį Įstaigos darbuotojų kėlusių savo kompetencijas, procentinė dalis, palyginus su 2023 m. Įstaigos darbuotojų, tobulinusių kompetencijas, procentine dalimi;</w:t>
            </w:r>
          </w:p>
          <w:p w14:paraId="63C4B6B6" w14:textId="77777777" w:rsidR="00292EAA" w:rsidRPr="00292EAA" w:rsidRDefault="00292EAA" w:rsidP="00292EAA">
            <w:pPr>
              <w:numPr>
                <w:ilvl w:val="0"/>
                <w:numId w:val="2"/>
              </w:numPr>
              <w:contextualSpacing/>
              <w:jc w:val="both"/>
              <w:rPr>
                <w:rFonts w:ascii="Calibri Light" w:eastAsia="Calibri" w:hAnsi="Calibri Light" w:cs="Calibri Light"/>
                <w:b/>
              </w:rPr>
            </w:pPr>
            <w:r w:rsidRPr="00292EAA">
              <w:rPr>
                <w:rFonts w:ascii="Calibri Light" w:eastAsia="Calibri" w:hAnsi="Calibri Light" w:cs="Calibri Light"/>
                <w:b/>
              </w:rPr>
              <w:t>gautos mokymų naudos ir įgytų kompetencijų pritaikymo vertinimas procentine išraiška.</w:t>
            </w:r>
          </w:p>
        </w:tc>
      </w:tr>
    </w:tbl>
    <w:p w14:paraId="06DC4CA4" w14:textId="03B90FFD" w:rsidR="00292EAA" w:rsidRPr="00292EAA" w:rsidRDefault="00292EAA" w:rsidP="00292EAA">
      <w:pPr>
        <w:tabs>
          <w:tab w:val="left" w:pos="1985"/>
        </w:tabs>
        <w:spacing w:after="0" w:line="240" w:lineRule="auto"/>
        <w:ind w:firstLine="851"/>
        <w:jc w:val="both"/>
        <w:rPr>
          <w:rFonts w:ascii="Calibri Light" w:eastAsia="Calibri" w:hAnsi="Calibri Light" w:cs="Calibri Light"/>
          <w:sz w:val="20"/>
          <w:szCs w:val="20"/>
        </w:rPr>
      </w:pPr>
      <w:bookmarkStart w:id="2" w:name="_GoBack"/>
      <w:bookmarkEnd w:id="1"/>
      <w:r w:rsidRPr="00292EAA">
        <w:rPr>
          <w:rFonts w:ascii="Calibri Light" w:eastAsia="Calibri" w:hAnsi="Calibri Light" w:cs="Calibri Light"/>
          <w:noProof/>
          <w:sz w:val="20"/>
          <w:szCs w:val="20"/>
          <w:lang w:val="en-US"/>
        </w:rPr>
        <w:drawing>
          <wp:anchor distT="0" distB="0" distL="114300" distR="114300" simplePos="0" relativeHeight="251659264" behindDoc="1" locked="0" layoutInCell="1" allowOverlap="1" wp14:anchorId="09051E31" wp14:editId="427EC5CB">
            <wp:simplePos x="0" y="0"/>
            <wp:positionH relativeFrom="column">
              <wp:posOffset>-80010</wp:posOffset>
            </wp:positionH>
            <wp:positionV relativeFrom="paragraph">
              <wp:posOffset>2560955</wp:posOffset>
            </wp:positionV>
            <wp:extent cx="6200140" cy="1514475"/>
            <wp:effectExtent l="0" t="0" r="10160" b="9525"/>
            <wp:wrapTight wrapText="bothSides">
              <wp:wrapPolygon edited="0">
                <wp:start x="0" y="0"/>
                <wp:lineTo x="0" y="21464"/>
                <wp:lineTo x="21569" y="21464"/>
                <wp:lineTo x="21569" y="0"/>
                <wp:lineTo x="0" y="0"/>
              </wp:wrapPolygon>
            </wp:wrapTight>
            <wp:docPr id="8" name="Diagrama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14:sizeRelV relativeFrom="margin">
              <wp14:pctHeight>0</wp14:pctHeight>
            </wp14:sizeRelV>
          </wp:anchor>
        </w:drawing>
      </w:r>
      <w:bookmarkStart w:id="3" w:name="_Hlk182570022"/>
      <w:bookmarkEnd w:id="2"/>
      <w:r w:rsidRPr="00292EAA">
        <w:rPr>
          <w:rFonts w:ascii="Calibri Light" w:eastAsia="Calibri" w:hAnsi="Calibri Light" w:cs="Calibri Light"/>
          <w:sz w:val="20"/>
          <w:szCs w:val="20"/>
        </w:rPr>
        <w:t xml:space="preserve">Įstaigos darbuotojų asmeninio ugdymosi, nuolatinio mokymosi ir tobulėjimo rezultatų vertinimas vyko 2024 m. rugsėjo mėnesį. vertinimui buvo sukurta darbuotojų pasitenkinimo 2024 m. lankytais mokymais anketa. Apklausoje dalyvavo 80 darbuotojų. Gauti rezultatai parodė, kad </w:t>
      </w:r>
      <w:r w:rsidRPr="00292EAA">
        <w:rPr>
          <w:rFonts w:ascii="Calibri Light" w:eastAsia="Calibri" w:hAnsi="Calibri Light" w:cs="Calibri Light"/>
          <w:bCs/>
          <w:sz w:val="20"/>
          <w:szCs w:val="20"/>
        </w:rPr>
        <w:t xml:space="preserve">87 proc. </w:t>
      </w:r>
      <w:r w:rsidRPr="00292EAA">
        <w:rPr>
          <w:rFonts w:ascii="Calibri Light" w:eastAsia="Calibri" w:hAnsi="Calibri Light" w:cs="Calibri Light"/>
          <w:sz w:val="20"/>
          <w:szCs w:val="20"/>
        </w:rPr>
        <w:t>apklaustųjų nurodė, kad  mokymai buvo naudingi,  o kasdieniame darbe  įgytas kompetencijas pritaikė net 94 proc. darbuotojų (1 diagrama).</w:t>
      </w:r>
      <w:bookmarkEnd w:id="3"/>
    </w:p>
    <w:p w14:paraId="4C74E7B3" w14:textId="77777777" w:rsidR="00292EAA" w:rsidRPr="00292EAA" w:rsidRDefault="00292EAA" w:rsidP="00292EAA">
      <w:pPr>
        <w:spacing w:after="0" w:line="240" w:lineRule="auto"/>
        <w:ind w:firstLine="993"/>
        <w:jc w:val="both"/>
        <w:rPr>
          <w:rFonts w:ascii="Calibri Light" w:eastAsia="SimSun" w:hAnsi="Calibri Light" w:cs="Calibri Light"/>
          <w:sz w:val="20"/>
          <w:szCs w:val="20"/>
        </w:rPr>
      </w:pPr>
      <w:bookmarkStart w:id="4" w:name="_Hlk182570993"/>
      <w:r w:rsidRPr="00292EAA">
        <w:rPr>
          <w:rFonts w:ascii="Calibri Light" w:eastAsia="SimSun" w:hAnsi="Calibri Light" w:cs="Calibri Light"/>
          <w:sz w:val="20"/>
          <w:szCs w:val="20"/>
        </w:rPr>
        <w:t xml:space="preserve">Iš viso 2024 m. 117 darbuotojų dalyvavo kvalifikacijos kėlimo mokymuose (duomenys gauti remiantis </w:t>
      </w:r>
      <w:r w:rsidRPr="00292EAA">
        <w:rPr>
          <w:rFonts w:ascii="Calibri Light" w:eastAsia="SimSun" w:hAnsi="Calibri Light" w:cs="Calibri Light"/>
          <w:i/>
          <w:iCs/>
          <w:sz w:val="20"/>
          <w:szCs w:val="20"/>
        </w:rPr>
        <w:t xml:space="preserve">Vidaus procesai </w:t>
      </w:r>
      <w:r w:rsidRPr="00292EAA">
        <w:rPr>
          <w:rFonts w:ascii="Calibri Light" w:eastAsia="SimSun" w:hAnsi="Calibri Light" w:cs="Calibri Light"/>
          <w:sz w:val="20"/>
          <w:szCs w:val="20"/>
        </w:rPr>
        <w:t xml:space="preserve">pateikta informacija, 2 diagrama). Jie išklausė apie 2044 val. mokymų. Buvo pravestos 5 vidinės intervizijos. 2023 m. 116 darbuotojų nurodė, kad dalyvavo kvalifikacijos kėlimo mokymuose. Iš viso 2023 metais darbuotojai išklausė apie 1450 val. mokymų. Buvo pravestos 2 vidinės intervizijos. 2024 m. buvo aptarti nuolatinio mokymosi rezultatai, analizuotos ir vertintos dinamikos priežastys, vertintos tendencijos. </w:t>
      </w:r>
      <w:r w:rsidRPr="00292EAA">
        <w:rPr>
          <w:rFonts w:ascii="Calibri Light" w:eastAsia="SimSun" w:hAnsi="Calibri Light" w:cs="Calibri Light"/>
          <w:b/>
          <w:bCs/>
          <w:sz w:val="20"/>
          <w:szCs w:val="20"/>
        </w:rPr>
        <w:t>Patobulintos kompetencijos:</w:t>
      </w:r>
      <w:r w:rsidRPr="00292EAA">
        <w:rPr>
          <w:rFonts w:ascii="Calibri Light" w:eastAsia="SimSun" w:hAnsi="Calibri Light" w:cs="Calibri Light"/>
          <w:sz w:val="20"/>
          <w:szCs w:val="20"/>
        </w:rPr>
        <w:t xml:space="preserve"> </w:t>
      </w:r>
      <w:r w:rsidRPr="00292EAA">
        <w:rPr>
          <w:rFonts w:ascii="Calibri Light" w:eastAsia="Calibri" w:hAnsi="Calibri Light" w:cs="Calibri Light"/>
          <w:sz w:val="20"/>
          <w:szCs w:val="20"/>
        </w:rPr>
        <w:t xml:space="preserve">psichologinio smurto atpažinimo, konfliktų, manipuliacijų ir agresijų valdymo, komunikacijos, bendradarbiavimo, atsakingumo, lytiškumo ugdymo, komandinio darbo, ribų nustatymo, gebėjimas planuoti, gebėjimas įvertinti poreikius ir atlikti intervenciją ir kitos reikšmingos kompetencijos. </w:t>
      </w:r>
      <w:r w:rsidRPr="00292EAA">
        <w:rPr>
          <w:rFonts w:ascii="Calibri Light" w:eastAsia="SimSun" w:hAnsi="Calibri Light" w:cs="Calibri Light"/>
          <w:b/>
          <w:bCs/>
          <w:sz w:val="20"/>
          <w:szCs w:val="20"/>
        </w:rPr>
        <w:t>Nustatytos dinamikos priežastys:</w:t>
      </w:r>
      <w:r w:rsidRPr="00292EAA">
        <w:rPr>
          <w:rFonts w:ascii="Calibri Light" w:eastAsia="SimSun" w:hAnsi="Calibri Light" w:cs="Calibri Light"/>
          <w:sz w:val="20"/>
          <w:szCs w:val="20"/>
        </w:rPr>
        <w:t xml:space="preserve"> 1. Truko mokymų, susijusių su gebėjimu atlikti interviziją, analizuoti situaciją ir kaip dirbti su paslaugų gavėjais turinčiais agresiją. 2. Neatsakingas darbuotojų požiūris renkantis mokymų programas. </w:t>
      </w:r>
      <w:r w:rsidRPr="00292EAA">
        <w:rPr>
          <w:rFonts w:ascii="Calibri Light" w:eastAsia="SimSun" w:hAnsi="Calibri Light" w:cs="Calibri Light"/>
          <w:b/>
          <w:bCs/>
          <w:sz w:val="20"/>
          <w:szCs w:val="20"/>
        </w:rPr>
        <w:t>Tendencijų vertinimas:</w:t>
      </w:r>
      <w:r w:rsidRPr="00292EAA">
        <w:rPr>
          <w:rFonts w:ascii="Calibri Light" w:eastAsia="SimSun" w:hAnsi="Calibri Light" w:cs="Calibri Light"/>
          <w:sz w:val="20"/>
          <w:szCs w:val="20"/>
        </w:rPr>
        <w:t xml:space="preserve"> 1. </w:t>
      </w:r>
      <w:r w:rsidRPr="00292EAA">
        <w:rPr>
          <w:rFonts w:ascii="Calibri Light" w:eastAsia="SimSun" w:hAnsi="Calibri Light" w:cs="Calibri Light"/>
          <w:sz w:val="20"/>
          <w:szCs w:val="20"/>
          <w:lang w:val="en-US"/>
        </w:rPr>
        <w:t xml:space="preserve">Didėja darbuotojų domėjimasis naujovėmis bei jų diegimas praktikoje. </w:t>
      </w:r>
      <w:r w:rsidRPr="00292EAA">
        <w:rPr>
          <w:rFonts w:ascii="Calibri Light" w:eastAsia="SimSun" w:hAnsi="Calibri Light" w:cs="Calibri Light"/>
          <w:sz w:val="20"/>
          <w:szCs w:val="20"/>
        </w:rPr>
        <w:t>2</w:t>
      </w:r>
      <w:r w:rsidRPr="00292EAA">
        <w:rPr>
          <w:rFonts w:ascii="Calibri Light" w:eastAsia="SimSun" w:hAnsi="Calibri Light" w:cs="Calibri Light"/>
          <w:sz w:val="20"/>
          <w:szCs w:val="20"/>
          <w:lang w:val="en-US"/>
        </w:rPr>
        <w:t xml:space="preserve">. Galimybė dalyvauti nemokamuose kvalifikacijos kėlimo kursuose. </w:t>
      </w:r>
      <w:r w:rsidRPr="00292EAA">
        <w:rPr>
          <w:rFonts w:ascii="Calibri Light" w:eastAsia="Calibri" w:hAnsi="Calibri Light" w:cs="Calibri Light"/>
          <w:sz w:val="20"/>
          <w:szCs w:val="20"/>
        </w:rPr>
        <w:t>Siekiant gerinti darbuotojų asmeninio ugdymosi, nuolatinio mokymosi ir tobulėjimo procesą, tikslinga įgyvendinti šias tobulinimo priemones:</w:t>
      </w:r>
    </w:p>
    <w:p w14:paraId="3BE999BD" w14:textId="77777777" w:rsidR="00292EAA" w:rsidRPr="00292EAA" w:rsidRDefault="00292EAA" w:rsidP="00292EAA">
      <w:pPr>
        <w:spacing w:after="0" w:line="240" w:lineRule="auto"/>
        <w:ind w:firstLine="567"/>
        <w:jc w:val="both"/>
        <w:rPr>
          <w:rFonts w:ascii="Calibri Light" w:eastAsia="Calibri" w:hAnsi="Calibri Light" w:cs="Calibri Light"/>
          <w:sz w:val="20"/>
          <w:szCs w:val="20"/>
        </w:rPr>
      </w:pPr>
      <w:r w:rsidRPr="00292EAA">
        <w:rPr>
          <w:rFonts w:ascii="Calibri Light" w:eastAsia="Calibri" w:hAnsi="Calibri Light" w:cs="Calibri Light"/>
          <w:sz w:val="20"/>
          <w:szCs w:val="20"/>
        </w:rPr>
        <w:t>1. Iki 2025 m. gruodžio  mėnesio periodiškai aptarti su darbuotojais mokymosi ir / ar nuotolinio mokymosi naudą, skatinti, kad darbuotojai aktyviai įsitrauktų į šį procesą;</w:t>
      </w:r>
    </w:p>
    <w:p w14:paraId="0BBBCE17" w14:textId="77777777" w:rsidR="00292EAA" w:rsidRPr="00292EAA" w:rsidRDefault="00292EAA" w:rsidP="00292EAA">
      <w:pPr>
        <w:spacing w:after="0" w:line="240" w:lineRule="auto"/>
        <w:ind w:firstLine="567"/>
        <w:jc w:val="both"/>
        <w:rPr>
          <w:rFonts w:ascii="Calibri Light" w:eastAsia="Calibri" w:hAnsi="Calibri Light" w:cs="Calibri Light"/>
          <w:sz w:val="20"/>
          <w:szCs w:val="20"/>
        </w:rPr>
      </w:pPr>
      <w:r w:rsidRPr="00292EAA">
        <w:rPr>
          <w:rFonts w:ascii="Calibri Light" w:eastAsia="Calibri" w:hAnsi="Calibri Light" w:cs="Calibri Light"/>
          <w:sz w:val="20"/>
          <w:szCs w:val="20"/>
        </w:rPr>
        <w:t>2. iki 2025 m. balandžio mėnesio patobulinti apklausos anketą;</w:t>
      </w:r>
    </w:p>
    <w:p w14:paraId="3EDE0772" w14:textId="6DA71FD2" w:rsidR="00292EAA" w:rsidRDefault="00292EAA" w:rsidP="00292EAA">
      <w:pPr>
        <w:spacing w:after="0" w:line="240" w:lineRule="auto"/>
        <w:ind w:firstLine="567"/>
        <w:jc w:val="both"/>
        <w:rPr>
          <w:rFonts w:ascii="Calibri Light" w:eastAsia="Calibri" w:hAnsi="Calibri Light" w:cs="Calibri Light"/>
          <w:sz w:val="20"/>
          <w:szCs w:val="20"/>
        </w:rPr>
      </w:pPr>
      <w:r w:rsidRPr="00292EAA">
        <w:rPr>
          <w:rFonts w:ascii="Calibri Light" w:eastAsia="SimSun" w:hAnsi="Calibri Light" w:cs="Calibri Light"/>
          <w:sz w:val="20"/>
          <w:szCs w:val="20"/>
        </w:rPr>
        <w:t xml:space="preserve">3. per 2025 m. </w:t>
      </w:r>
      <w:r w:rsidRPr="00292EAA">
        <w:rPr>
          <w:rFonts w:ascii="Calibri Light" w:eastAsia="Calibri" w:hAnsi="Calibri Light" w:cs="Calibri Light"/>
          <w:sz w:val="20"/>
          <w:szCs w:val="20"/>
        </w:rPr>
        <w:t>analizuoti ir vertinti / stebėti dinamikos priežastis bei vertinti jos tendencijas.</w:t>
      </w:r>
      <w:bookmarkEnd w:id="4"/>
    </w:p>
    <w:p w14:paraId="3F7C9CFF" w14:textId="19A2AB63" w:rsidR="00292EAA" w:rsidRDefault="00292EAA" w:rsidP="00292EAA">
      <w:pPr>
        <w:spacing w:after="0" w:line="240" w:lineRule="auto"/>
        <w:ind w:firstLine="567"/>
        <w:jc w:val="both"/>
        <w:rPr>
          <w:rFonts w:ascii="Calibri Light" w:eastAsia="SimSun" w:hAnsi="Calibri Light" w:cs="Calibri Light"/>
          <w:sz w:val="20"/>
          <w:szCs w:val="20"/>
        </w:rPr>
      </w:pPr>
    </w:p>
    <w:p w14:paraId="1095B1BC" w14:textId="59D038AF" w:rsidR="00292EAA" w:rsidRDefault="00292EAA" w:rsidP="00292EAA">
      <w:pPr>
        <w:spacing w:after="0" w:line="240" w:lineRule="auto"/>
        <w:ind w:firstLine="567"/>
        <w:jc w:val="both"/>
        <w:rPr>
          <w:rFonts w:ascii="Calibri Light" w:eastAsia="SimSun" w:hAnsi="Calibri Light" w:cs="Calibri Light"/>
          <w:sz w:val="20"/>
          <w:szCs w:val="20"/>
        </w:rPr>
      </w:pPr>
    </w:p>
    <w:p w14:paraId="73278793" w14:textId="77777777" w:rsidR="00292EAA" w:rsidRPr="00292EAA" w:rsidRDefault="00292EAA" w:rsidP="00292EAA">
      <w:pPr>
        <w:spacing w:line="256" w:lineRule="auto"/>
        <w:jc w:val="center"/>
        <w:rPr>
          <w:rFonts w:asciiTheme="majorHAnsi" w:hAnsiTheme="majorHAnsi" w:cstheme="majorHAnsi"/>
          <w:b/>
          <w:sz w:val="24"/>
          <w:szCs w:val="24"/>
          <w:lang w:val="en-US"/>
        </w:rPr>
      </w:pPr>
      <w:r w:rsidRPr="00292EAA">
        <w:rPr>
          <w:rFonts w:asciiTheme="majorHAnsi" w:hAnsiTheme="majorHAnsi" w:cstheme="majorHAnsi"/>
          <w:b/>
          <w:sz w:val="24"/>
          <w:szCs w:val="24"/>
          <w:lang w:val="en-US"/>
        </w:rPr>
        <w:t xml:space="preserve">II. PASLAUGŲ GAVĖJŲ SUVOKIMO APIE TEISIŲ CHARTIJĄ REZULTATAI </w:t>
      </w:r>
    </w:p>
    <w:p w14:paraId="4E8917C6" w14:textId="77777777" w:rsidR="00292EAA" w:rsidRPr="00292EAA" w:rsidRDefault="00292EAA" w:rsidP="00292EAA">
      <w:pPr>
        <w:spacing w:line="256" w:lineRule="auto"/>
        <w:jc w:val="center"/>
        <w:rPr>
          <w:rFonts w:asciiTheme="majorHAnsi" w:hAnsiTheme="majorHAnsi" w:cstheme="majorHAnsi"/>
          <w:b/>
          <w:sz w:val="24"/>
          <w:szCs w:val="24"/>
          <w:lang w:val="en-US"/>
        </w:rPr>
      </w:pPr>
      <w:r w:rsidRPr="00292EAA">
        <w:rPr>
          <w:rFonts w:asciiTheme="majorHAnsi" w:hAnsiTheme="majorHAnsi" w:cstheme="majorHAnsi"/>
          <w:b/>
          <w:sz w:val="24"/>
          <w:szCs w:val="24"/>
          <w:lang w:val="en-US"/>
        </w:rPr>
        <w:t>2024 M.</w:t>
      </w:r>
    </w:p>
    <w:p w14:paraId="7C61ED0E" w14:textId="77777777" w:rsidR="00292EAA" w:rsidRPr="00292EAA" w:rsidRDefault="00292EAA" w:rsidP="00292EAA">
      <w:pPr>
        <w:spacing w:line="256" w:lineRule="auto"/>
        <w:rPr>
          <w:rFonts w:ascii="Times New Roman" w:hAnsi="Times New Roman" w:cs="Times New Roman"/>
          <w:b/>
          <w:sz w:val="24"/>
          <w:lang w:val="en-US"/>
        </w:rPr>
      </w:pPr>
      <w:bookmarkStart w:id="5" w:name="_Hlk66887284"/>
      <w:bookmarkEnd w:id="5"/>
      <w:r w:rsidRPr="00292EAA">
        <w:rPr>
          <w:rFonts w:ascii="Times New Roman" w:hAnsi="Times New Roman" w:cs="Times New Roman"/>
          <w:b/>
          <w:iCs/>
          <w:noProof/>
          <w:sz w:val="24"/>
          <w:szCs w:val="24"/>
        </w:rPr>
        <w:drawing>
          <wp:anchor distT="0" distB="0" distL="114300" distR="114300" simplePos="0" relativeHeight="251662336" behindDoc="1" locked="0" layoutInCell="1" allowOverlap="1" wp14:anchorId="1A88C182" wp14:editId="064746C7">
            <wp:simplePos x="0" y="0"/>
            <wp:positionH relativeFrom="margin">
              <wp:align>left</wp:align>
            </wp:positionH>
            <wp:positionV relativeFrom="paragraph">
              <wp:posOffset>847725</wp:posOffset>
            </wp:positionV>
            <wp:extent cx="5981700" cy="2857500"/>
            <wp:effectExtent l="0" t="0" r="0" b="0"/>
            <wp:wrapTight wrapText="bothSides">
              <wp:wrapPolygon edited="0">
                <wp:start x="0" y="0"/>
                <wp:lineTo x="0" y="21456"/>
                <wp:lineTo x="21531" y="21456"/>
                <wp:lineTo x="21531" y="0"/>
                <wp:lineTo x="0" y="0"/>
              </wp:wrapPolygon>
            </wp:wrapTight>
            <wp:docPr id="1" name="Diagrama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margin">
              <wp14:pctWidth>0</wp14:pctWidth>
            </wp14:sizeRelH>
            <wp14:sizeRelV relativeFrom="margin">
              <wp14:pctHeight>0</wp14:pctHeight>
            </wp14:sizeRelV>
          </wp:anchor>
        </w:drawing>
      </w:r>
    </w:p>
    <w:tbl>
      <w:tblPr>
        <w:tblpPr w:leftFromText="180" w:rightFromText="180" w:vertAnchor="text" w:horzAnchor="margin" w:tblpY="-515"/>
        <w:tblW w:w="9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60"/>
        <w:gridCol w:w="7496"/>
      </w:tblGrid>
      <w:tr w:rsidR="00292EAA" w:rsidRPr="00292EAA" w14:paraId="56F8A871" w14:textId="77777777" w:rsidTr="002C0ADB">
        <w:tc>
          <w:tcPr>
            <w:tcW w:w="1960" w:type="dxa"/>
            <w:vAlign w:val="center"/>
          </w:tcPr>
          <w:p w14:paraId="53D02207" w14:textId="77777777" w:rsidR="00292EAA" w:rsidRPr="00292EAA" w:rsidRDefault="00292EAA" w:rsidP="00292EAA">
            <w:pPr>
              <w:spacing w:after="0" w:line="240" w:lineRule="auto"/>
              <w:jc w:val="both"/>
              <w:rPr>
                <w:rFonts w:asciiTheme="majorHAnsi" w:eastAsia="Calibri" w:hAnsiTheme="majorHAnsi" w:cstheme="majorHAnsi"/>
                <w:b/>
                <w:sz w:val="20"/>
                <w:szCs w:val="20"/>
              </w:rPr>
            </w:pPr>
            <w:r w:rsidRPr="00292EAA">
              <w:rPr>
                <w:rFonts w:asciiTheme="majorHAnsi" w:eastAsia="Calibri" w:hAnsiTheme="majorHAnsi" w:cstheme="majorHAnsi"/>
                <w:b/>
                <w:sz w:val="20"/>
                <w:szCs w:val="20"/>
                <w:lang w:eastAsia="lt-LT"/>
              </w:rPr>
              <w:t>16 kriterijus</w:t>
            </w:r>
          </w:p>
        </w:tc>
        <w:tc>
          <w:tcPr>
            <w:tcW w:w="7496" w:type="dxa"/>
          </w:tcPr>
          <w:p w14:paraId="72B64EC4" w14:textId="77777777" w:rsidR="00292EAA" w:rsidRPr="00292EAA" w:rsidRDefault="00292EAA" w:rsidP="00292EAA">
            <w:pPr>
              <w:spacing w:line="240" w:lineRule="auto"/>
              <w:contextualSpacing/>
              <w:jc w:val="both"/>
              <w:rPr>
                <w:rFonts w:asciiTheme="majorHAnsi" w:hAnsiTheme="majorHAnsi" w:cstheme="majorHAnsi"/>
                <w:sz w:val="20"/>
                <w:szCs w:val="20"/>
                <w:lang w:eastAsia="lt-LT"/>
              </w:rPr>
            </w:pPr>
            <w:r w:rsidRPr="00292EAA">
              <w:rPr>
                <w:rFonts w:asciiTheme="majorHAnsi" w:hAnsiTheme="majorHAnsi" w:cstheme="majorHAnsi"/>
                <w:sz w:val="20"/>
                <w:szCs w:val="20"/>
                <w:lang w:eastAsia="lt-LT"/>
              </w:rPr>
              <w:t>Socialinių paslaugų teikėjas vertina savo veiklos efektyvumą pagal tai, kaip skatina ir praktiškai užtikrina paslaugų gavėjų teises visose organizacijos veiklos srityse.</w:t>
            </w:r>
          </w:p>
        </w:tc>
      </w:tr>
      <w:tr w:rsidR="00292EAA" w:rsidRPr="00292EAA" w14:paraId="5F44562C" w14:textId="77777777" w:rsidTr="002C0ADB">
        <w:tc>
          <w:tcPr>
            <w:tcW w:w="1960" w:type="dxa"/>
            <w:vAlign w:val="center"/>
          </w:tcPr>
          <w:p w14:paraId="1C62DEFB" w14:textId="77777777" w:rsidR="00292EAA" w:rsidRPr="00292EAA" w:rsidRDefault="00292EAA" w:rsidP="00292EAA">
            <w:pPr>
              <w:spacing w:after="0" w:line="240" w:lineRule="auto"/>
              <w:jc w:val="both"/>
              <w:rPr>
                <w:rFonts w:asciiTheme="majorHAnsi" w:eastAsia="Calibri" w:hAnsiTheme="majorHAnsi" w:cstheme="majorHAnsi"/>
                <w:b/>
                <w:bCs/>
                <w:sz w:val="20"/>
                <w:szCs w:val="20"/>
              </w:rPr>
            </w:pPr>
            <w:r w:rsidRPr="00292EAA">
              <w:rPr>
                <w:rFonts w:asciiTheme="majorHAnsi" w:eastAsia="Calibri" w:hAnsiTheme="majorHAnsi" w:cstheme="majorHAnsi"/>
                <w:b/>
                <w:bCs/>
                <w:sz w:val="20"/>
                <w:szCs w:val="20"/>
              </w:rPr>
              <w:t>Rodiklis</w:t>
            </w:r>
          </w:p>
        </w:tc>
        <w:tc>
          <w:tcPr>
            <w:tcW w:w="7496" w:type="dxa"/>
          </w:tcPr>
          <w:p w14:paraId="1810F431" w14:textId="77777777" w:rsidR="00292EAA" w:rsidRPr="00292EAA" w:rsidRDefault="00292EAA" w:rsidP="00292EAA">
            <w:pPr>
              <w:spacing w:line="240" w:lineRule="auto"/>
              <w:contextualSpacing/>
              <w:jc w:val="both"/>
              <w:rPr>
                <w:rFonts w:asciiTheme="majorHAnsi" w:hAnsiTheme="majorHAnsi" w:cstheme="majorHAnsi"/>
                <w:b/>
                <w:iCs/>
                <w:sz w:val="20"/>
                <w:szCs w:val="20"/>
              </w:rPr>
            </w:pPr>
            <w:r w:rsidRPr="00292EAA">
              <w:rPr>
                <w:rFonts w:asciiTheme="majorHAnsi" w:hAnsiTheme="majorHAnsi" w:cstheme="majorHAnsi"/>
                <w:b/>
                <w:iCs/>
                <w:sz w:val="20"/>
                <w:szCs w:val="20"/>
              </w:rPr>
              <w:t xml:space="preserve">Paslaugų gavėjų teisių suvokimo procentinės išraiškos palyginimas </w:t>
            </w:r>
          </w:p>
          <w:p w14:paraId="5D74A755" w14:textId="77777777" w:rsidR="00292EAA" w:rsidRPr="00292EAA" w:rsidRDefault="00292EAA" w:rsidP="00292EAA">
            <w:pPr>
              <w:spacing w:line="240" w:lineRule="auto"/>
              <w:contextualSpacing/>
              <w:jc w:val="both"/>
              <w:rPr>
                <w:rFonts w:asciiTheme="majorHAnsi" w:hAnsiTheme="majorHAnsi" w:cstheme="majorHAnsi"/>
                <w:b/>
                <w:iCs/>
                <w:sz w:val="20"/>
                <w:szCs w:val="20"/>
              </w:rPr>
            </w:pPr>
            <w:r w:rsidRPr="00292EAA">
              <w:rPr>
                <w:rFonts w:asciiTheme="majorHAnsi" w:hAnsiTheme="majorHAnsi" w:cstheme="majorHAnsi"/>
                <w:b/>
                <w:iCs/>
                <w:sz w:val="20"/>
                <w:szCs w:val="20"/>
              </w:rPr>
              <w:t>2023 m. ir 2024 m.</w:t>
            </w:r>
          </w:p>
        </w:tc>
      </w:tr>
    </w:tbl>
    <w:p w14:paraId="5DC39CEB" w14:textId="77777777" w:rsidR="005B188F" w:rsidRDefault="00292EAA" w:rsidP="005B188F">
      <w:pPr>
        <w:spacing w:line="240" w:lineRule="auto"/>
        <w:ind w:firstLine="709"/>
        <w:jc w:val="both"/>
        <w:rPr>
          <w:rFonts w:asciiTheme="majorHAnsi" w:hAnsiTheme="majorHAnsi" w:cstheme="majorHAnsi"/>
          <w:sz w:val="20"/>
          <w:szCs w:val="20"/>
        </w:rPr>
      </w:pPr>
      <w:r w:rsidRPr="00292EAA">
        <w:rPr>
          <w:rFonts w:asciiTheme="majorHAnsi" w:hAnsiTheme="majorHAnsi" w:cstheme="majorHAnsi"/>
          <w:sz w:val="20"/>
          <w:szCs w:val="20"/>
        </w:rPr>
        <w:t xml:space="preserve">2024 m. įgyvendintos tobulinimo priemonės:  patobulinta paslaugų gavėjų teisių chartijos knyga, </w:t>
      </w:r>
      <w:bookmarkStart w:id="6" w:name="_Hlk182315076"/>
      <w:r w:rsidRPr="00292EAA">
        <w:rPr>
          <w:rFonts w:asciiTheme="majorHAnsi" w:hAnsiTheme="majorHAnsi" w:cstheme="majorHAnsi"/>
          <w:sz w:val="20"/>
          <w:szCs w:val="20"/>
        </w:rPr>
        <w:t>alternatyvios komunikacijos priemonių pagalba parengtas teisių chartijos suvokimo algoritmas. Tai teigiamai įtakojo paslaugų gavėjų teisių suvokimą ir atsispindi gautuose tyrimo rezultatuose.</w:t>
      </w:r>
      <w:bookmarkEnd w:id="6"/>
    </w:p>
    <w:p w14:paraId="404FEA7E" w14:textId="722703A4" w:rsidR="00292EAA" w:rsidRPr="00292EAA" w:rsidRDefault="00292EAA" w:rsidP="005B188F">
      <w:pPr>
        <w:spacing w:line="240" w:lineRule="auto"/>
        <w:ind w:firstLine="709"/>
        <w:jc w:val="both"/>
        <w:rPr>
          <w:rFonts w:asciiTheme="majorHAnsi" w:hAnsiTheme="majorHAnsi" w:cstheme="majorHAnsi"/>
          <w:sz w:val="20"/>
          <w:szCs w:val="20"/>
        </w:rPr>
      </w:pPr>
      <w:r w:rsidRPr="00292EAA">
        <w:rPr>
          <w:rFonts w:asciiTheme="majorHAnsi" w:hAnsiTheme="majorHAnsi" w:cstheme="majorHAnsi"/>
          <w:sz w:val="20"/>
          <w:szCs w:val="20"/>
        </w:rPr>
        <w:t xml:space="preserve">2024 m. rugsėjo mėnesį naudojant alternatyvios komunikacijos priemones bei kiekvienoje grupėje esančias teisių chartijos knygas, PG išreiškė nuomonę apie  jų teisių suvokimą. Prie kiekvienos iš pagrindinių teisių buvo nurodyti atsakymų variantai: aš suprantu savo teises, nesuprantu, negaliu atsakyti. Tyrime dalyvavo 91 PG, 2023 m. – 79 PG.  Atliekant palyginamąją diagramos analizę nustatyta, kad suvokimas apie teisių chartiją palaipsniui didėja. Labiausiai padidėjo suvokimas apie teisę į lygybę: nuo  49% 2023 m. iki 69% 2024 m. Teisė į dalyvavimą antrus metus išlieka geriausiai suprantama teise: 80% 2023 m. ir 82% 2024 m. Gerėjantys rezultatai tyrime rodo, kad Įstaigoje naudotos PG supažindinimo su jų teisėmis priemonės pagerino PG teisių chartijos suvokimą. </w:t>
      </w:r>
    </w:p>
    <w:p w14:paraId="54E3CB8C" w14:textId="77777777" w:rsidR="00292EAA" w:rsidRPr="00292EAA" w:rsidRDefault="00292EAA" w:rsidP="00292EAA">
      <w:pPr>
        <w:spacing w:line="240" w:lineRule="auto"/>
        <w:ind w:firstLine="709"/>
        <w:jc w:val="both"/>
        <w:rPr>
          <w:rFonts w:asciiTheme="majorHAnsi" w:hAnsiTheme="majorHAnsi" w:cstheme="majorHAnsi"/>
          <w:sz w:val="20"/>
          <w:szCs w:val="20"/>
        </w:rPr>
      </w:pPr>
      <w:r w:rsidRPr="00292EAA">
        <w:rPr>
          <w:rFonts w:asciiTheme="majorHAnsi" w:hAnsiTheme="majorHAnsi" w:cstheme="majorHAnsi"/>
          <w:sz w:val="20"/>
          <w:szCs w:val="20"/>
        </w:rPr>
        <w:t xml:space="preserve">Siekiant tęsti PG teisių chartijos suvokimo užtikrinimą, tikslinga: </w:t>
      </w:r>
    </w:p>
    <w:p w14:paraId="4204A9A7" w14:textId="77777777" w:rsidR="00292EAA" w:rsidRPr="00292EAA" w:rsidRDefault="00292EAA" w:rsidP="00292EAA">
      <w:pPr>
        <w:numPr>
          <w:ilvl w:val="0"/>
          <w:numId w:val="3"/>
        </w:numPr>
        <w:spacing w:line="240" w:lineRule="auto"/>
        <w:contextualSpacing/>
        <w:jc w:val="both"/>
        <w:rPr>
          <w:rFonts w:asciiTheme="majorHAnsi" w:hAnsiTheme="majorHAnsi" w:cstheme="majorHAnsi"/>
          <w:sz w:val="20"/>
          <w:szCs w:val="20"/>
        </w:rPr>
      </w:pPr>
      <w:r w:rsidRPr="00292EAA">
        <w:rPr>
          <w:rFonts w:asciiTheme="majorHAnsi" w:hAnsiTheme="majorHAnsi" w:cstheme="majorHAnsi"/>
          <w:sz w:val="20"/>
          <w:szCs w:val="20"/>
        </w:rPr>
        <w:t xml:space="preserve">Tęsti iliustruotos teisių chartijos knygos naudojimą  2025 m. </w:t>
      </w:r>
    </w:p>
    <w:p w14:paraId="47ED45CE" w14:textId="77777777" w:rsidR="00292EAA" w:rsidRPr="00292EAA" w:rsidRDefault="00292EAA" w:rsidP="00292EAA">
      <w:pPr>
        <w:numPr>
          <w:ilvl w:val="0"/>
          <w:numId w:val="3"/>
        </w:numPr>
        <w:spacing w:line="240" w:lineRule="auto"/>
        <w:contextualSpacing/>
        <w:jc w:val="both"/>
        <w:rPr>
          <w:rFonts w:asciiTheme="majorHAnsi" w:hAnsiTheme="majorHAnsi" w:cstheme="majorHAnsi"/>
          <w:sz w:val="20"/>
          <w:szCs w:val="20"/>
        </w:rPr>
      </w:pPr>
      <w:r w:rsidRPr="00292EAA">
        <w:rPr>
          <w:rFonts w:asciiTheme="majorHAnsi" w:hAnsiTheme="majorHAnsi" w:cstheme="majorHAnsi"/>
          <w:sz w:val="20"/>
          <w:szCs w:val="20"/>
        </w:rPr>
        <w:t>Iki 2025 m. rugsėjo mėn. atlikti PG teisių chartijos suvokimo tyrimą ir palyginti su 2024 m. rezultatais.</w:t>
      </w:r>
    </w:p>
    <w:p w14:paraId="749BDD61" w14:textId="77777777" w:rsidR="00292EAA" w:rsidRPr="00292EAA" w:rsidRDefault="00292EAA" w:rsidP="00292EAA">
      <w:pPr>
        <w:numPr>
          <w:ilvl w:val="0"/>
          <w:numId w:val="3"/>
        </w:numPr>
        <w:spacing w:line="240" w:lineRule="auto"/>
        <w:contextualSpacing/>
        <w:jc w:val="both"/>
        <w:rPr>
          <w:rFonts w:asciiTheme="majorHAnsi" w:hAnsiTheme="majorHAnsi" w:cstheme="majorHAnsi"/>
          <w:sz w:val="20"/>
          <w:szCs w:val="20"/>
        </w:rPr>
      </w:pPr>
      <w:r w:rsidRPr="00292EAA">
        <w:rPr>
          <w:rFonts w:asciiTheme="majorHAnsi" w:hAnsiTheme="majorHAnsi" w:cstheme="majorHAnsi"/>
          <w:sz w:val="20"/>
          <w:szCs w:val="20"/>
        </w:rPr>
        <w:t xml:space="preserve">Iki 2025 m. lapkričio mėn. bendro susirinkimo su darbuotojais metu pristatyti teisės chartijos suvokimo rezultatus. </w:t>
      </w:r>
    </w:p>
    <w:p w14:paraId="241B850A" w14:textId="3EB98A22" w:rsidR="00292EAA" w:rsidRDefault="00292EAA" w:rsidP="00292EAA">
      <w:pPr>
        <w:spacing w:after="0" w:line="240" w:lineRule="auto"/>
        <w:ind w:firstLine="567"/>
        <w:jc w:val="both"/>
        <w:rPr>
          <w:rFonts w:ascii="Calibri Light" w:eastAsia="SimSun" w:hAnsi="Calibri Light" w:cs="Calibri Light"/>
          <w:sz w:val="20"/>
          <w:szCs w:val="20"/>
        </w:rPr>
      </w:pPr>
    </w:p>
    <w:p w14:paraId="6EF51C48" w14:textId="4C4ADF81" w:rsidR="00292EAA" w:rsidRDefault="00292EAA" w:rsidP="00292EAA">
      <w:pPr>
        <w:spacing w:after="0" w:line="240" w:lineRule="auto"/>
        <w:ind w:firstLine="567"/>
        <w:jc w:val="both"/>
        <w:rPr>
          <w:rFonts w:ascii="Calibri Light" w:eastAsia="SimSun" w:hAnsi="Calibri Light" w:cs="Calibri Light"/>
          <w:sz w:val="20"/>
          <w:szCs w:val="20"/>
        </w:rPr>
      </w:pPr>
    </w:p>
    <w:p w14:paraId="6F6D40AF" w14:textId="4D577E32" w:rsidR="00292EAA" w:rsidRDefault="00292EAA" w:rsidP="00292EAA">
      <w:pPr>
        <w:spacing w:after="0" w:line="240" w:lineRule="auto"/>
        <w:ind w:firstLine="567"/>
        <w:jc w:val="both"/>
        <w:rPr>
          <w:rFonts w:ascii="Calibri Light" w:eastAsia="SimSun" w:hAnsi="Calibri Light" w:cs="Calibri Light"/>
          <w:sz w:val="20"/>
          <w:szCs w:val="20"/>
        </w:rPr>
      </w:pPr>
    </w:p>
    <w:p w14:paraId="3091317C" w14:textId="4D243C69" w:rsidR="00292EAA" w:rsidRDefault="00292EAA" w:rsidP="00292EAA">
      <w:pPr>
        <w:spacing w:after="0" w:line="240" w:lineRule="auto"/>
        <w:ind w:firstLine="567"/>
        <w:jc w:val="both"/>
        <w:rPr>
          <w:rFonts w:ascii="Calibri Light" w:eastAsia="SimSun" w:hAnsi="Calibri Light" w:cs="Calibri Light"/>
          <w:sz w:val="20"/>
          <w:szCs w:val="20"/>
        </w:rPr>
      </w:pPr>
    </w:p>
    <w:p w14:paraId="022E643C" w14:textId="48C80E57" w:rsidR="00292EAA" w:rsidRDefault="00292EAA" w:rsidP="00292EAA">
      <w:pPr>
        <w:spacing w:after="0" w:line="240" w:lineRule="auto"/>
        <w:ind w:firstLine="567"/>
        <w:jc w:val="both"/>
        <w:rPr>
          <w:rFonts w:ascii="Calibri Light" w:eastAsia="SimSun" w:hAnsi="Calibri Light" w:cs="Calibri Light"/>
          <w:sz w:val="20"/>
          <w:szCs w:val="20"/>
        </w:rPr>
      </w:pPr>
    </w:p>
    <w:p w14:paraId="3DDAF075" w14:textId="1347829C" w:rsidR="00292EAA" w:rsidRDefault="00292EAA" w:rsidP="00292EAA">
      <w:pPr>
        <w:spacing w:after="0" w:line="240" w:lineRule="auto"/>
        <w:ind w:firstLine="567"/>
        <w:jc w:val="both"/>
        <w:rPr>
          <w:rFonts w:ascii="Calibri Light" w:eastAsia="SimSun" w:hAnsi="Calibri Light" w:cs="Calibri Light"/>
          <w:sz w:val="20"/>
          <w:szCs w:val="20"/>
        </w:rPr>
      </w:pPr>
    </w:p>
    <w:p w14:paraId="396A66CD" w14:textId="41F68EEE" w:rsidR="00292EAA" w:rsidRDefault="00292EAA" w:rsidP="00292EAA">
      <w:pPr>
        <w:spacing w:after="0" w:line="240" w:lineRule="auto"/>
        <w:ind w:firstLine="567"/>
        <w:jc w:val="both"/>
        <w:rPr>
          <w:rFonts w:ascii="Calibri Light" w:eastAsia="SimSun" w:hAnsi="Calibri Light" w:cs="Calibri Light"/>
          <w:sz w:val="20"/>
          <w:szCs w:val="20"/>
        </w:rPr>
      </w:pPr>
    </w:p>
    <w:p w14:paraId="2AD60CBD" w14:textId="70B3850D" w:rsidR="00292EAA" w:rsidRDefault="00292EAA" w:rsidP="00292EAA">
      <w:pPr>
        <w:spacing w:after="0" w:line="240" w:lineRule="auto"/>
        <w:ind w:firstLine="567"/>
        <w:jc w:val="both"/>
        <w:rPr>
          <w:rFonts w:ascii="Calibri Light" w:eastAsia="SimSun" w:hAnsi="Calibri Light" w:cs="Calibri Light"/>
          <w:sz w:val="20"/>
          <w:szCs w:val="20"/>
        </w:rPr>
      </w:pPr>
    </w:p>
    <w:p w14:paraId="32042E1F" w14:textId="656A3267" w:rsidR="00292EAA" w:rsidRDefault="00292EAA" w:rsidP="00292EAA">
      <w:pPr>
        <w:spacing w:after="0" w:line="240" w:lineRule="auto"/>
        <w:ind w:firstLine="567"/>
        <w:jc w:val="both"/>
        <w:rPr>
          <w:rFonts w:ascii="Calibri Light" w:eastAsia="SimSun" w:hAnsi="Calibri Light" w:cs="Calibri Light"/>
          <w:sz w:val="20"/>
          <w:szCs w:val="20"/>
        </w:rPr>
      </w:pPr>
    </w:p>
    <w:p w14:paraId="361C7CC6" w14:textId="7DEB8C38" w:rsidR="00292EAA" w:rsidRDefault="00292EAA" w:rsidP="00292EAA">
      <w:pPr>
        <w:spacing w:after="0" w:line="240" w:lineRule="auto"/>
        <w:ind w:firstLine="567"/>
        <w:jc w:val="both"/>
        <w:rPr>
          <w:rFonts w:ascii="Calibri Light" w:eastAsia="SimSun" w:hAnsi="Calibri Light" w:cs="Calibri Light"/>
          <w:sz w:val="20"/>
          <w:szCs w:val="20"/>
        </w:rPr>
      </w:pPr>
    </w:p>
    <w:p w14:paraId="506F4DCF" w14:textId="5908D5A4" w:rsidR="00292EAA" w:rsidRDefault="00292EAA" w:rsidP="00292EAA">
      <w:pPr>
        <w:spacing w:after="0" w:line="240" w:lineRule="auto"/>
        <w:ind w:firstLine="567"/>
        <w:jc w:val="both"/>
        <w:rPr>
          <w:rFonts w:ascii="Calibri Light" w:eastAsia="SimSun" w:hAnsi="Calibri Light" w:cs="Calibri Light"/>
          <w:sz w:val="20"/>
          <w:szCs w:val="20"/>
        </w:rPr>
      </w:pPr>
    </w:p>
    <w:p w14:paraId="2FD6C206" w14:textId="77777777" w:rsidR="00292EAA" w:rsidRPr="00FD4B12" w:rsidRDefault="00292EAA" w:rsidP="00292EAA">
      <w:pPr>
        <w:spacing w:after="0" w:line="240" w:lineRule="auto"/>
        <w:ind w:left="360"/>
        <w:jc w:val="center"/>
        <w:rPr>
          <w:rFonts w:asciiTheme="majorHAnsi" w:eastAsia="Calibri" w:hAnsiTheme="majorHAnsi" w:cstheme="majorHAnsi"/>
          <w:b/>
          <w:bCs/>
          <w:sz w:val="24"/>
          <w:szCs w:val="24"/>
        </w:rPr>
      </w:pPr>
      <w:r w:rsidRPr="00FD4B12">
        <w:rPr>
          <w:rFonts w:asciiTheme="majorHAnsi" w:eastAsia="Calibri" w:hAnsiTheme="majorHAnsi" w:cstheme="majorHAnsi"/>
          <w:b/>
          <w:bCs/>
          <w:sz w:val="24"/>
          <w:szCs w:val="24"/>
        </w:rPr>
        <w:t xml:space="preserve">III. ORGANIZACIJOS PARTNERYSČIŲ TEIKIAMOS NAUDOS REZULTATAI </w:t>
      </w:r>
    </w:p>
    <w:p w14:paraId="5CDE2FFA" w14:textId="77777777" w:rsidR="00292EAA" w:rsidRPr="00FD4B12" w:rsidRDefault="00292EAA" w:rsidP="00292EAA">
      <w:pPr>
        <w:spacing w:after="0" w:line="240" w:lineRule="auto"/>
        <w:ind w:left="360"/>
        <w:jc w:val="center"/>
        <w:rPr>
          <w:rFonts w:asciiTheme="majorHAnsi" w:eastAsia="Calibri" w:hAnsiTheme="majorHAnsi" w:cstheme="majorHAnsi"/>
          <w:b/>
          <w:bCs/>
          <w:sz w:val="24"/>
          <w:szCs w:val="24"/>
        </w:rPr>
      </w:pPr>
      <w:r w:rsidRPr="00FD4B12">
        <w:rPr>
          <w:rFonts w:asciiTheme="majorHAnsi" w:eastAsia="Calibri" w:hAnsiTheme="majorHAnsi" w:cstheme="majorHAnsi"/>
          <w:b/>
          <w:bCs/>
          <w:sz w:val="24"/>
          <w:szCs w:val="24"/>
        </w:rPr>
        <w:t>2024 M.</w:t>
      </w:r>
    </w:p>
    <w:p w14:paraId="52E374D1" w14:textId="77777777" w:rsidR="00292EAA" w:rsidRPr="00BE0E30" w:rsidRDefault="00292EAA" w:rsidP="00292EAA">
      <w:pPr>
        <w:spacing w:after="0" w:line="240" w:lineRule="auto"/>
        <w:rPr>
          <w:rFonts w:ascii="Times New Roman" w:eastAsia="Calibri" w:hAnsi="Times New Roman" w:cs="Times New Roman"/>
          <w:lang w:val="en-US"/>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0"/>
        <w:gridCol w:w="7649"/>
      </w:tblGrid>
      <w:tr w:rsidR="00292EAA" w:rsidRPr="00FD4B12" w14:paraId="1E08F47D" w14:textId="77777777" w:rsidTr="002C0ADB">
        <w:tc>
          <w:tcPr>
            <w:tcW w:w="1980" w:type="dxa"/>
            <w:vAlign w:val="center"/>
          </w:tcPr>
          <w:p w14:paraId="7B055E73" w14:textId="77777777" w:rsidR="00292EAA" w:rsidRPr="00FD4B12" w:rsidRDefault="00292EAA" w:rsidP="002C0ADB">
            <w:pPr>
              <w:spacing w:after="0" w:line="240" w:lineRule="auto"/>
              <w:jc w:val="both"/>
              <w:rPr>
                <w:rFonts w:asciiTheme="majorHAnsi" w:eastAsia="Calibri" w:hAnsiTheme="majorHAnsi" w:cstheme="majorHAnsi"/>
                <w:b/>
                <w:sz w:val="20"/>
                <w:szCs w:val="20"/>
              </w:rPr>
            </w:pPr>
            <w:r w:rsidRPr="00FD4B12">
              <w:rPr>
                <w:rFonts w:asciiTheme="majorHAnsi" w:eastAsia="Calibri" w:hAnsiTheme="majorHAnsi" w:cstheme="majorHAnsi"/>
                <w:b/>
                <w:sz w:val="20"/>
                <w:szCs w:val="20"/>
              </w:rPr>
              <w:t>25 kriterijus</w:t>
            </w:r>
          </w:p>
        </w:tc>
        <w:tc>
          <w:tcPr>
            <w:tcW w:w="7649" w:type="dxa"/>
          </w:tcPr>
          <w:p w14:paraId="18054A88" w14:textId="77777777" w:rsidR="00292EAA" w:rsidRPr="00FD4B12" w:rsidRDefault="00292EAA" w:rsidP="002C0ADB">
            <w:pPr>
              <w:spacing w:after="0" w:line="240" w:lineRule="auto"/>
              <w:jc w:val="both"/>
              <w:rPr>
                <w:rFonts w:asciiTheme="majorHAnsi" w:eastAsia="Calibri" w:hAnsiTheme="majorHAnsi" w:cstheme="majorHAnsi"/>
                <w:sz w:val="20"/>
                <w:szCs w:val="20"/>
              </w:rPr>
            </w:pPr>
            <w:r w:rsidRPr="00FD4B12">
              <w:rPr>
                <w:rFonts w:asciiTheme="majorHAnsi" w:eastAsia="Calibri" w:hAnsiTheme="majorHAnsi" w:cstheme="majorHAnsi"/>
                <w:sz w:val="20"/>
                <w:szCs w:val="20"/>
              </w:rPr>
              <w:t>Socialinių paslaugų teikėjas įvertina partnerystės rezultatus ir naudą paslaugų gavėjams ir organizacijai</w:t>
            </w:r>
          </w:p>
        </w:tc>
      </w:tr>
      <w:tr w:rsidR="00292EAA" w:rsidRPr="00FD4B12" w14:paraId="17F69787" w14:textId="77777777" w:rsidTr="002C0ADB">
        <w:trPr>
          <w:trHeight w:val="545"/>
        </w:trPr>
        <w:tc>
          <w:tcPr>
            <w:tcW w:w="1980" w:type="dxa"/>
            <w:vAlign w:val="center"/>
          </w:tcPr>
          <w:p w14:paraId="589811E9" w14:textId="77777777" w:rsidR="00292EAA" w:rsidRPr="00FD4B12" w:rsidRDefault="00292EAA" w:rsidP="002C0ADB">
            <w:pPr>
              <w:spacing w:after="0" w:line="240" w:lineRule="auto"/>
              <w:jc w:val="both"/>
              <w:rPr>
                <w:rFonts w:asciiTheme="majorHAnsi" w:eastAsia="Calibri" w:hAnsiTheme="majorHAnsi" w:cstheme="majorHAnsi"/>
                <w:b/>
                <w:bCs/>
                <w:sz w:val="20"/>
                <w:szCs w:val="20"/>
              </w:rPr>
            </w:pPr>
            <w:r w:rsidRPr="00FD4B12">
              <w:rPr>
                <w:rFonts w:asciiTheme="majorHAnsi" w:eastAsia="Calibri" w:hAnsiTheme="majorHAnsi" w:cstheme="majorHAnsi"/>
                <w:b/>
                <w:bCs/>
                <w:sz w:val="20"/>
                <w:szCs w:val="20"/>
              </w:rPr>
              <w:t>Rodiklis</w:t>
            </w:r>
          </w:p>
        </w:tc>
        <w:tc>
          <w:tcPr>
            <w:tcW w:w="7649" w:type="dxa"/>
          </w:tcPr>
          <w:p w14:paraId="5CF401D1" w14:textId="77777777" w:rsidR="00292EAA" w:rsidRPr="00FD4B12" w:rsidRDefault="00292EAA" w:rsidP="002C0ADB">
            <w:pPr>
              <w:spacing w:after="0" w:line="240" w:lineRule="auto"/>
              <w:jc w:val="both"/>
              <w:rPr>
                <w:rFonts w:asciiTheme="majorHAnsi" w:eastAsia="Calibri" w:hAnsiTheme="majorHAnsi" w:cstheme="majorHAnsi"/>
                <w:b/>
                <w:sz w:val="20"/>
                <w:szCs w:val="20"/>
              </w:rPr>
            </w:pPr>
            <w:r w:rsidRPr="00FD4B12">
              <w:rPr>
                <w:rFonts w:asciiTheme="majorHAnsi" w:eastAsia="Calibri" w:hAnsiTheme="majorHAnsi" w:cstheme="majorHAnsi"/>
                <w:b/>
                <w:sz w:val="20"/>
                <w:szCs w:val="20"/>
              </w:rPr>
              <w:t>Darbuotojų, apklausoje nurodžiusių, kad 2024 m. partnerių suteiktos paslaugos buvo naudingos paslaugų gavėjams, procentine dalis, lyginant su visais apklausoje dalyvavusiais darbuotojais.</w:t>
            </w:r>
          </w:p>
        </w:tc>
      </w:tr>
    </w:tbl>
    <w:p w14:paraId="6A1FDF65" w14:textId="6FBEC499" w:rsidR="00292EAA" w:rsidRPr="00FD4B12" w:rsidRDefault="005B188F" w:rsidP="00292EAA">
      <w:pPr>
        <w:spacing w:after="0" w:line="240" w:lineRule="auto"/>
        <w:jc w:val="both"/>
        <w:rPr>
          <w:rFonts w:asciiTheme="majorHAnsi" w:eastAsia="Calibri" w:hAnsiTheme="majorHAnsi" w:cstheme="majorHAnsi"/>
          <w:sz w:val="20"/>
          <w:szCs w:val="20"/>
        </w:rPr>
      </w:pPr>
      <w:r w:rsidRPr="00FD4B12">
        <w:rPr>
          <w:rFonts w:asciiTheme="majorHAnsi" w:eastAsia="Calibri" w:hAnsiTheme="majorHAnsi" w:cstheme="majorHAnsi"/>
          <w:noProof/>
          <w:sz w:val="20"/>
          <w:szCs w:val="20"/>
        </w:rPr>
        <w:drawing>
          <wp:anchor distT="0" distB="0" distL="114300" distR="114300" simplePos="0" relativeHeight="251664384" behindDoc="0" locked="0" layoutInCell="1" allowOverlap="1" wp14:anchorId="4A51405E" wp14:editId="2661CCAA">
            <wp:simplePos x="0" y="0"/>
            <wp:positionH relativeFrom="margin">
              <wp:posOffset>-46465</wp:posOffset>
            </wp:positionH>
            <wp:positionV relativeFrom="paragraph">
              <wp:posOffset>149170</wp:posOffset>
            </wp:positionV>
            <wp:extent cx="6090699" cy="2567305"/>
            <wp:effectExtent l="0" t="0" r="5715" b="4445"/>
            <wp:wrapNone/>
            <wp:docPr id="3" name="Diagrama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margin">
              <wp14:pctWidth>0</wp14:pctWidth>
            </wp14:sizeRelH>
            <wp14:sizeRelV relativeFrom="margin">
              <wp14:pctHeight>0</wp14:pctHeight>
            </wp14:sizeRelV>
          </wp:anchor>
        </w:drawing>
      </w:r>
    </w:p>
    <w:p w14:paraId="63CA1F39" w14:textId="3CA3B760" w:rsidR="00292EAA" w:rsidRPr="00FD4B12" w:rsidRDefault="00292EAA" w:rsidP="00292EAA">
      <w:pPr>
        <w:spacing w:after="0" w:line="240" w:lineRule="auto"/>
        <w:ind w:firstLine="567"/>
        <w:jc w:val="center"/>
        <w:rPr>
          <w:rFonts w:asciiTheme="majorHAnsi" w:eastAsia="Calibri" w:hAnsiTheme="majorHAnsi" w:cstheme="majorHAnsi"/>
          <w:sz w:val="20"/>
          <w:szCs w:val="20"/>
        </w:rPr>
      </w:pPr>
    </w:p>
    <w:p w14:paraId="5C1CBF5F" w14:textId="77777777" w:rsidR="00292EAA" w:rsidRPr="00FD4B12" w:rsidRDefault="00292EAA" w:rsidP="00292EAA">
      <w:pPr>
        <w:spacing w:after="0" w:line="240" w:lineRule="auto"/>
        <w:ind w:firstLine="567"/>
        <w:jc w:val="center"/>
        <w:rPr>
          <w:rFonts w:asciiTheme="majorHAnsi" w:eastAsia="Calibri" w:hAnsiTheme="majorHAnsi" w:cstheme="majorHAnsi"/>
          <w:sz w:val="20"/>
          <w:szCs w:val="20"/>
        </w:rPr>
      </w:pPr>
    </w:p>
    <w:p w14:paraId="55E68E68" w14:textId="77777777" w:rsidR="00292EAA" w:rsidRPr="00FD4B12" w:rsidRDefault="00292EAA" w:rsidP="00292EAA">
      <w:pPr>
        <w:spacing w:after="0" w:line="240" w:lineRule="auto"/>
        <w:ind w:firstLine="567"/>
        <w:jc w:val="center"/>
        <w:rPr>
          <w:rFonts w:asciiTheme="majorHAnsi" w:eastAsia="Calibri" w:hAnsiTheme="majorHAnsi" w:cstheme="majorHAnsi"/>
          <w:sz w:val="20"/>
          <w:szCs w:val="20"/>
        </w:rPr>
      </w:pPr>
    </w:p>
    <w:p w14:paraId="08F1FF08" w14:textId="77777777" w:rsidR="00292EAA" w:rsidRPr="00FD4B12" w:rsidRDefault="00292EAA" w:rsidP="00292EAA">
      <w:pPr>
        <w:spacing w:after="0" w:line="240" w:lineRule="auto"/>
        <w:ind w:firstLine="567"/>
        <w:jc w:val="center"/>
        <w:rPr>
          <w:rFonts w:asciiTheme="majorHAnsi" w:eastAsia="Calibri" w:hAnsiTheme="majorHAnsi" w:cstheme="majorHAnsi"/>
          <w:sz w:val="20"/>
          <w:szCs w:val="20"/>
        </w:rPr>
      </w:pPr>
    </w:p>
    <w:p w14:paraId="46D181D0" w14:textId="77777777" w:rsidR="00292EAA" w:rsidRPr="00FD4B12" w:rsidRDefault="00292EAA" w:rsidP="00292EAA">
      <w:pPr>
        <w:spacing w:after="0" w:line="240" w:lineRule="auto"/>
        <w:ind w:firstLine="567"/>
        <w:jc w:val="center"/>
        <w:rPr>
          <w:rFonts w:asciiTheme="majorHAnsi" w:eastAsia="Calibri" w:hAnsiTheme="majorHAnsi" w:cstheme="majorHAnsi"/>
          <w:sz w:val="20"/>
          <w:szCs w:val="20"/>
        </w:rPr>
      </w:pPr>
    </w:p>
    <w:p w14:paraId="6E6DF355" w14:textId="77777777" w:rsidR="00292EAA" w:rsidRPr="00FD4B12" w:rsidRDefault="00292EAA" w:rsidP="00292EAA">
      <w:pPr>
        <w:spacing w:after="0" w:line="240" w:lineRule="auto"/>
        <w:ind w:firstLine="567"/>
        <w:jc w:val="center"/>
        <w:rPr>
          <w:rFonts w:asciiTheme="majorHAnsi" w:eastAsia="Calibri" w:hAnsiTheme="majorHAnsi" w:cstheme="majorHAnsi"/>
          <w:sz w:val="20"/>
          <w:szCs w:val="20"/>
        </w:rPr>
      </w:pPr>
    </w:p>
    <w:p w14:paraId="0B1CFDDE" w14:textId="77777777" w:rsidR="00292EAA" w:rsidRPr="00FD4B12" w:rsidRDefault="00292EAA" w:rsidP="00292EAA">
      <w:pPr>
        <w:spacing w:after="0" w:line="276" w:lineRule="auto"/>
        <w:ind w:firstLine="567"/>
        <w:jc w:val="both"/>
        <w:rPr>
          <w:rFonts w:asciiTheme="majorHAnsi" w:eastAsia="Calibri" w:hAnsiTheme="majorHAnsi" w:cstheme="majorHAnsi"/>
          <w:strike/>
          <w:sz w:val="20"/>
          <w:szCs w:val="20"/>
        </w:rPr>
      </w:pPr>
    </w:p>
    <w:p w14:paraId="7243D608" w14:textId="77777777" w:rsidR="00292EAA" w:rsidRPr="00FD4B12" w:rsidRDefault="00292EAA" w:rsidP="00292EAA">
      <w:pPr>
        <w:spacing w:after="0" w:line="360" w:lineRule="auto"/>
        <w:ind w:firstLine="567"/>
        <w:jc w:val="center"/>
        <w:rPr>
          <w:rFonts w:asciiTheme="majorHAnsi" w:eastAsia="Calibri" w:hAnsiTheme="majorHAnsi" w:cstheme="majorHAnsi"/>
          <w:sz w:val="20"/>
          <w:szCs w:val="20"/>
        </w:rPr>
      </w:pPr>
    </w:p>
    <w:p w14:paraId="2F76ED70" w14:textId="77777777" w:rsidR="00292EAA" w:rsidRPr="00FD4B12" w:rsidRDefault="00292EAA" w:rsidP="00292EAA">
      <w:pPr>
        <w:spacing w:after="0" w:line="240" w:lineRule="auto"/>
        <w:ind w:firstLine="567"/>
        <w:jc w:val="center"/>
        <w:rPr>
          <w:rFonts w:asciiTheme="majorHAnsi" w:eastAsia="Calibri" w:hAnsiTheme="majorHAnsi" w:cstheme="majorHAnsi"/>
          <w:sz w:val="20"/>
          <w:szCs w:val="20"/>
        </w:rPr>
      </w:pPr>
    </w:p>
    <w:p w14:paraId="007FB756" w14:textId="77777777" w:rsidR="00292EAA" w:rsidRPr="00FD4B12" w:rsidRDefault="00292EAA" w:rsidP="00292EAA">
      <w:pPr>
        <w:spacing w:after="0" w:line="240" w:lineRule="auto"/>
        <w:ind w:firstLine="567"/>
        <w:jc w:val="center"/>
        <w:rPr>
          <w:rFonts w:asciiTheme="majorHAnsi" w:eastAsia="Calibri" w:hAnsiTheme="majorHAnsi" w:cstheme="majorHAnsi"/>
          <w:sz w:val="20"/>
          <w:szCs w:val="20"/>
        </w:rPr>
      </w:pPr>
    </w:p>
    <w:p w14:paraId="3EA902F5" w14:textId="77777777" w:rsidR="00292EAA" w:rsidRPr="00FD4B12" w:rsidRDefault="00292EAA" w:rsidP="00292EAA">
      <w:pPr>
        <w:spacing w:after="0" w:line="240" w:lineRule="auto"/>
        <w:ind w:firstLine="567"/>
        <w:jc w:val="center"/>
        <w:rPr>
          <w:rFonts w:asciiTheme="majorHAnsi" w:eastAsia="Calibri" w:hAnsiTheme="majorHAnsi" w:cstheme="majorHAnsi"/>
          <w:sz w:val="20"/>
          <w:szCs w:val="20"/>
        </w:rPr>
      </w:pPr>
    </w:p>
    <w:p w14:paraId="74E34AFE" w14:textId="77777777" w:rsidR="00292EAA" w:rsidRPr="00FD4B12" w:rsidRDefault="00292EAA" w:rsidP="00292EAA">
      <w:pPr>
        <w:spacing w:after="0" w:line="240" w:lineRule="auto"/>
        <w:ind w:firstLine="567"/>
        <w:jc w:val="center"/>
        <w:rPr>
          <w:rFonts w:asciiTheme="majorHAnsi" w:eastAsia="Calibri" w:hAnsiTheme="majorHAnsi" w:cstheme="majorHAnsi"/>
          <w:sz w:val="20"/>
          <w:szCs w:val="20"/>
        </w:rPr>
      </w:pPr>
    </w:p>
    <w:p w14:paraId="4EC0DD58" w14:textId="77777777" w:rsidR="00292EAA" w:rsidRPr="00FD4B12" w:rsidRDefault="00292EAA" w:rsidP="00292EAA">
      <w:pPr>
        <w:spacing w:after="0" w:line="240" w:lineRule="auto"/>
        <w:ind w:firstLine="567"/>
        <w:jc w:val="center"/>
        <w:rPr>
          <w:rFonts w:asciiTheme="majorHAnsi" w:eastAsia="Calibri" w:hAnsiTheme="majorHAnsi" w:cstheme="majorHAnsi"/>
          <w:sz w:val="20"/>
          <w:szCs w:val="20"/>
        </w:rPr>
      </w:pPr>
    </w:p>
    <w:p w14:paraId="57F86889" w14:textId="77777777" w:rsidR="00292EAA" w:rsidRPr="00FD4B12" w:rsidRDefault="00292EAA" w:rsidP="00292EAA">
      <w:pPr>
        <w:spacing w:after="0" w:line="240" w:lineRule="auto"/>
        <w:ind w:firstLine="567"/>
        <w:jc w:val="center"/>
        <w:rPr>
          <w:rFonts w:asciiTheme="majorHAnsi" w:eastAsia="Calibri" w:hAnsiTheme="majorHAnsi" w:cstheme="majorHAnsi"/>
          <w:sz w:val="20"/>
          <w:szCs w:val="20"/>
        </w:rPr>
      </w:pPr>
    </w:p>
    <w:p w14:paraId="6FCF3B5D" w14:textId="77777777" w:rsidR="00292EAA" w:rsidRPr="00FD4B12" w:rsidRDefault="00292EAA" w:rsidP="00292EAA">
      <w:pPr>
        <w:spacing w:after="0" w:line="240" w:lineRule="auto"/>
        <w:ind w:firstLine="567"/>
        <w:jc w:val="center"/>
        <w:rPr>
          <w:rFonts w:asciiTheme="majorHAnsi" w:eastAsia="Calibri" w:hAnsiTheme="majorHAnsi" w:cstheme="majorHAnsi"/>
          <w:sz w:val="20"/>
          <w:szCs w:val="20"/>
        </w:rPr>
      </w:pPr>
    </w:p>
    <w:p w14:paraId="7C2558B1" w14:textId="77777777" w:rsidR="00292EAA" w:rsidRPr="00FD4B12" w:rsidRDefault="00292EAA" w:rsidP="00292EAA">
      <w:pPr>
        <w:spacing w:after="0" w:line="240" w:lineRule="auto"/>
        <w:ind w:firstLine="567"/>
        <w:jc w:val="right"/>
        <w:rPr>
          <w:rFonts w:asciiTheme="majorHAnsi" w:eastAsia="Calibri" w:hAnsiTheme="majorHAnsi" w:cstheme="majorHAnsi"/>
          <w:color w:val="A6A6A6" w:themeColor="background1" w:themeShade="A6"/>
          <w:sz w:val="20"/>
          <w:szCs w:val="20"/>
        </w:rPr>
      </w:pPr>
    </w:p>
    <w:p w14:paraId="06F80BA7" w14:textId="10F55321" w:rsidR="00292EAA" w:rsidRDefault="00292EAA" w:rsidP="005B188F">
      <w:pPr>
        <w:spacing w:after="0" w:line="240" w:lineRule="auto"/>
        <w:ind w:firstLine="567"/>
        <w:jc w:val="both"/>
        <w:rPr>
          <w:rFonts w:asciiTheme="majorHAnsi" w:eastAsia="Calibri" w:hAnsiTheme="majorHAnsi" w:cstheme="majorHAnsi"/>
          <w:color w:val="000000"/>
          <w:sz w:val="20"/>
          <w:szCs w:val="20"/>
        </w:rPr>
      </w:pPr>
      <w:r w:rsidRPr="00FD4B12">
        <w:rPr>
          <w:rFonts w:asciiTheme="majorHAnsi" w:eastAsia="Calibri" w:hAnsiTheme="majorHAnsi" w:cstheme="majorHAnsi"/>
          <w:color w:val="000000"/>
          <w:sz w:val="20"/>
          <w:szCs w:val="20"/>
        </w:rPr>
        <w:t xml:space="preserve">Įstaigos partnerysčių teikiamos naudos vertinimas anketinės apklausos būdu vyko 2024 m. rugsėjo mėnesį. </w:t>
      </w:r>
    </w:p>
    <w:p w14:paraId="74E3B745" w14:textId="77777777" w:rsidR="00292EAA" w:rsidRPr="00FD4B12" w:rsidRDefault="00292EAA" w:rsidP="00292EAA">
      <w:pPr>
        <w:spacing w:after="0" w:line="240" w:lineRule="auto"/>
        <w:ind w:firstLine="567"/>
        <w:jc w:val="both"/>
        <w:rPr>
          <w:rFonts w:asciiTheme="majorHAnsi" w:eastAsia="Calibri" w:hAnsiTheme="majorHAnsi" w:cstheme="majorHAnsi"/>
          <w:sz w:val="20"/>
          <w:szCs w:val="20"/>
        </w:rPr>
      </w:pPr>
      <w:r>
        <w:rPr>
          <w:rFonts w:asciiTheme="majorHAnsi" w:eastAsia="Calibri" w:hAnsiTheme="majorHAnsi" w:cstheme="majorHAnsi"/>
          <w:color w:val="000000"/>
          <w:sz w:val="20"/>
          <w:szCs w:val="20"/>
        </w:rPr>
        <w:t>Anketinėje a</w:t>
      </w:r>
      <w:r w:rsidRPr="00FD4B12">
        <w:rPr>
          <w:rFonts w:asciiTheme="majorHAnsi" w:eastAsia="Calibri" w:hAnsiTheme="majorHAnsi" w:cstheme="majorHAnsi"/>
          <w:color w:val="000000"/>
          <w:sz w:val="20"/>
          <w:szCs w:val="20"/>
        </w:rPr>
        <w:t>pklausoje</w:t>
      </w:r>
      <w:r>
        <w:rPr>
          <w:rFonts w:asciiTheme="majorHAnsi" w:eastAsia="Calibri" w:hAnsiTheme="majorHAnsi" w:cstheme="majorHAnsi"/>
          <w:color w:val="000000"/>
          <w:sz w:val="20"/>
          <w:szCs w:val="20"/>
        </w:rPr>
        <w:t>, vykusioje 2024 m. rugsėjo mėn.,</w:t>
      </w:r>
      <w:r w:rsidRPr="00FD4B12">
        <w:rPr>
          <w:rFonts w:asciiTheme="majorHAnsi" w:eastAsia="Calibri" w:hAnsiTheme="majorHAnsi" w:cstheme="majorHAnsi"/>
          <w:color w:val="000000"/>
          <w:sz w:val="20"/>
          <w:szCs w:val="20"/>
        </w:rPr>
        <w:t xml:space="preserve"> dalyvavo 75 darbuotojai. Lyginant 2023 m. ir 2024 m. rezultatus, pastebėta, kad </w:t>
      </w:r>
      <w:r w:rsidRPr="00FD4B12">
        <w:rPr>
          <w:rFonts w:asciiTheme="majorHAnsi" w:eastAsia="Calibri" w:hAnsiTheme="majorHAnsi" w:cstheme="majorHAnsi"/>
          <w:sz w:val="20"/>
          <w:szCs w:val="20"/>
        </w:rPr>
        <w:t xml:space="preserve">apklausos dalyviai daugiausiai naudos įžvelgė bendradarbiavime su „Vilniaus keistuolių teatru“ (90,6%), ,,Profesinio ir/ar aukštojo mokslo mokyklomis (86,8%) ir UAB „Vaisiai Jums“ (71,2%)„. Lyginant 2023 m. ir 2024 m. rezultatus, pastebimas geresnis visų partnerių vertinimas nei pernai. Manoma, kad geresniems rezultatams  įtakos turėjo Įstaigos susirinkimų metu išsamiai pristatyta medžiaga apie partnerystės teikiamą naudą darbuotojams bei PG. </w:t>
      </w:r>
    </w:p>
    <w:p w14:paraId="5EFAB558" w14:textId="77777777" w:rsidR="00292EAA" w:rsidRPr="00FD4B12" w:rsidRDefault="00292EAA" w:rsidP="00292EAA">
      <w:pPr>
        <w:spacing w:after="0" w:line="240" w:lineRule="auto"/>
        <w:ind w:firstLine="567"/>
        <w:jc w:val="both"/>
        <w:rPr>
          <w:rFonts w:asciiTheme="majorHAnsi" w:eastAsia="Calibri" w:hAnsiTheme="majorHAnsi" w:cstheme="majorHAnsi"/>
          <w:sz w:val="20"/>
          <w:szCs w:val="20"/>
        </w:rPr>
      </w:pPr>
      <w:r w:rsidRPr="00FD4B12">
        <w:rPr>
          <w:rFonts w:asciiTheme="majorHAnsi" w:eastAsia="Calibri" w:hAnsiTheme="majorHAnsi" w:cstheme="majorHAnsi"/>
          <w:sz w:val="20"/>
          <w:szCs w:val="20"/>
        </w:rPr>
        <w:t xml:space="preserve">Šiais metais anketa buvo papildyta klausimu „Kodėl manote, kad bendradarbiavimas su šiuo partneriu buvo naudingas Įstaigos PG?“ Daugiausia respondentų nurodė, kad bendradarbiavimas tarp Įstaigų yra naudingas dėl darbuotojų motyvavimo, kas lemia geresnę teikiamų paslaugų kokybę bei dėl to, kad yra užtikrinama PG teisė į švietimą. </w:t>
      </w:r>
    </w:p>
    <w:p w14:paraId="530BE4BB" w14:textId="77777777" w:rsidR="00292EAA" w:rsidRPr="00FD4B12" w:rsidRDefault="00292EAA" w:rsidP="00292EAA">
      <w:pPr>
        <w:spacing w:after="0" w:line="240" w:lineRule="auto"/>
        <w:ind w:firstLine="567"/>
        <w:jc w:val="both"/>
        <w:rPr>
          <w:rFonts w:asciiTheme="majorHAnsi" w:eastAsia="Calibri" w:hAnsiTheme="majorHAnsi" w:cstheme="majorHAnsi"/>
          <w:sz w:val="20"/>
          <w:szCs w:val="20"/>
        </w:rPr>
      </w:pPr>
      <w:r w:rsidRPr="00FD4B12">
        <w:rPr>
          <w:rFonts w:asciiTheme="majorHAnsi" w:eastAsia="Calibri" w:hAnsiTheme="majorHAnsi" w:cstheme="majorHAnsi"/>
          <w:sz w:val="20"/>
          <w:szCs w:val="20"/>
        </w:rPr>
        <w:t xml:space="preserve">Šiais metais, taip pat, buvo nuspręsta anketinės apklausos būdu išanalizuoti ir Įstaigos partnerių bei steigėjo nuomonę apie bendradarbiavimo tarp mūsų įstaigų naudingumą jiems. Išanalizavus 2024 m. spalio mėnesį gautus rezultatus, paaiškėjo, kad tiek steigėjas (Vilniaus miesto savivaldybė), tiek 7 apklausti partneriai bendradarbiavimą įvertino labai gerai. </w:t>
      </w:r>
    </w:p>
    <w:p w14:paraId="0A52CC21" w14:textId="77777777" w:rsidR="00292EAA" w:rsidRPr="00FD4B12" w:rsidRDefault="00292EAA" w:rsidP="00292EAA">
      <w:pPr>
        <w:spacing w:after="0" w:line="240" w:lineRule="auto"/>
        <w:ind w:firstLine="567"/>
        <w:jc w:val="both"/>
        <w:rPr>
          <w:rFonts w:asciiTheme="majorHAnsi" w:eastAsia="Calibri" w:hAnsiTheme="majorHAnsi" w:cstheme="majorHAnsi"/>
          <w:sz w:val="20"/>
          <w:szCs w:val="20"/>
        </w:rPr>
      </w:pPr>
      <w:r w:rsidRPr="00FD4B12">
        <w:rPr>
          <w:rFonts w:asciiTheme="majorHAnsi" w:eastAsia="Calibri" w:hAnsiTheme="majorHAnsi" w:cstheme="majorHAnsi"/>
          <w:sz w:val="20"/>
          <w:szCs w:val="20"/>
        </w:rPr>
        <w:t>Be to, įgyvendinant 2023 m. numatytas tobulinimo priemones bei siekiant Įstaigos PG tolimesnės integracijos į Vilniaus miesto bendruomenę, 2024 m. buvo pasirašytos bendradarbiavimo sutartys su VšĮ „Menų spaustuvė“, BĮ „Markučių dvaro muziejus“ ir Lietuvos Didžiosios Kunigaikštystės valdovų rūmais.</w:t>
      </w:r>
    </w:p>
    <w:p w14:paraId="256DBA93" w14:textId="77777777" w:rsidR="00292EAA" w:rsidRPr="00FD4B12" w:rsidRDefault="00292EAA" w:rsidP="00292EAA">
      <w:pPr>
        <w:spacing w:after="0" w:line="240" w:lineRule="auto"/>
        <w:ind w:firstLine="567"/>
        <w:jc w:val="both"/>
        <w:rPr>
          <w:rFonts w:asciiTheme="majorHAnsi" w:eastAsia="Calibri" w:hAnsiTheme="majorHAnsi" w:cstheme="majorHAnsi"/>
          <w:color w:val="000000"/>
          <w:sz w:val="20"/>
          <w:szCs w:val="20"/>
        </w:rPr>
      </w:pPr>
      <w:r w:rsidRPr="00FD4B12">
        <w:rPr>
          <w:rFonts w:asciiTheme="majorHAnsi" w:eastAsia="Calibri" w:hAnsiTheme="majorHAnsi" w:cstheme="majorHAnsi"/>
          <w:sz w:val="20"/>
          <w:szCs w:val="20"/>
        </w:rPr>
        <w:t xml:space="preserve"> </w:t>
      </w:r>
    </w:p>
    <w:p w14:paraId="7D9B4FCC" w14:textId="77777777" w:rsidR="00292EAA" w:rsidRPr="00FD4B12" w:rsidRDefault="00292EAA" w:rsidP="00292EAA">
      <w:pPr>
        <w:spacing w:after="0" w:line="240" w:lineRule="auto"/>
        <w:ind w:firstLine="567"/>
        <w:jc w:val="both"/>
        <w:rPr>
          <w:rFonts w:asciiTheme="majorHAnsi" w:eastAsia="Calibri" w:hAnsiTheme="majorHAnsi" w:cstheme="majorHAnsi"/>
          <w:sz w:val="20"/>
          <w:szCs w:val="20"/>
        </w:rPr>
      </w:pPr>
      <w:r w:rsidRPr="00FD4B12">
        <w:rPr>
          <w:rFonts w:asciiTheme="majorHAnsi" w:eastAsia="Calibri" w:hAnsiTheme="majorHAnsi" w:cstheme="majorHAnsi"/>
          <w:sz w:val="20"/>
          <w:szCs w:val="20"/>
        </w:rPr>
        <w:t>Siekiant toliau vystyti bendradarbiavimą su partneriais bei užtikrinti partnerysčių naudos vertinimo tęstinumą, tikslinga iki 2025 m. gruodžio 31 d. pasirašyti naujas bendradarbiavimo sutartis bei iki 2025 m. lapkričio 31 d. palyginti 2023 m. 2024 m. ir 2025 m. rezultatus.</w:t>
      </w:r>
      <w:r w:rsidRPr="00FD4B12">
        <w:rPr>
          <w:rFonts w:asciiTheme="majorHAnsi" w:eastAsia="Calibri" w:hAnsiTheme="majorHAnsi" w:cstheme="majorHAnsi"/>
          <w:color w:val="000000"/>
          <w:sz w:val="20"/>
          <w:szCs w:val="20"/>
        </w:rPr>
        <w:tab/>
      </w:r>
    </w:p>
    <w:p w14:paraId="42F8CD71" w14:textId="1F65DEDD" w:rsidR="00292EAA" w:rsidRDefault="00292EAA" w:rsidP="00292EAA">
      <w:pPr>
        <w:spacing w:after="0" w:line="240" w:lineRule="auto"/>
        <w:ind w:firstLine="567"/>
        <w:jc w:val="both"/>
        <w:rPr>
          <w:rFonts w:ascii="Calibri Light" w:eastAsia="SimSun" w:hAnsi="Calibri Light" w:cs="Calibri Light"/>
          <w:sz w:val="20"/>
          <w:szCs w:val="20"/>
        </w:rPr>
      </w:pPr>
    </w:p>
    <w:p w14:paraId="2223779D" w14:textId="45B085C5" w:rsidR="00292EAA" w:rsidRDefault="00292EAA" w:rsidP="00292EAA">
      <w:pPr>
        <w:spacing w:after="0" w:line="240" w:lineRule="auto"/>
        <w:ind w:firstLine="567"/>
        <w:jc w:val="both"/>
        <w:rPr>
          <w:rFonts w:ascii="Calibri Light" w:eastAsia="SimSun" w:hAnsi="Calibri Light" w:cs="Calibri Light"/>
          <w:sz w:val="20"/>
          <w:szCs w:val="20"/>
        </w:rPr>
      </w:pPr>
    </w:p>
    <w:p w14:paraId="2008B833" w14:textId="098F4A02" w:rsidR="00292EAA" w:rsidRDefault="00292EAA" w:rsidP="00292EAA">
      <w:pPr>
        <w:spacing w:after="0" w:line="240" w:lineRule="auto"/>
        <w:ind w:firstLine="567"/>
        <w:jc w:val="both"/>
        <w:rPr>
          <w:rFonts w:ascii="Calibri Light" w:eastAsia="SimSun" w:hAnsi="Calibri Light" w:cs="Calibri Light"/>
          <w:sz w:val="20"/>
          <w:szCs w:val="20"/>
        </w:rPr>
      </w:pPr>
    </w:p>
    <w:p w14:paraId="5916DB28" w14:textId="5CE282B8" w:rsidR="00292EAA" w:rsidRDefault="00292EAA" w:rsidP="00292EAA">
      <w:pPr>
        <w:spacing w:after="0" w:line="240" w:lineRule="auto"/>
        <w:ind w:firstLine="567"/>
        <w:jc w:val="both"/>
        <w:rPr>
          <w:rFonts w:ascii="Calibri Light" w:eastAsia="SimSun" w:hAnsi="Calibri Light" w:cs="Calibri Light"/>
          <w:sz w:val="20"/>
          <w:szCs w:val="20"/>
        </w:rPr>
      </w:pPr>
    </w:p>
    <w:p w14:paraId="78BDA9FA" w14:textId="1F2ED38F" w:rsidR="00292EAA" w:rsidRDefault="00292EAA" w:rsidP="00292EAA">
      <w:pPr>
        <w:spacing w:after="0" w:line="240" w:lineRule="auto"/>
        <w:ind w:firstLine="567"/>
        <w:jc w:val="both"/>
        <w:rPr>
          <w:rFonts w:ascii="Calibri Light" w:eastAsia="SimSun" w:hAnsi="Calibri Light" w:cs="Calibri Light"/>
          <w:sz w:val="20"/>
          <w:szCs w:val="20"/>
        </w:rPr>
      </w:pPr>
    </w:p>
    <w:p w14:paraId="6276D29D" w14:textId="037ABDAF" w:rsidR="00292EAA" w:rsidRDefault="00292EAA" w:rsidP="00292EAA">
      <w:pPr>
        <w:spacing w:after="0" w:line="240" w:lineRule="auto"/>
        <w:ind w:firstLine="567"/>
        <w:jc w:val="both"/>
        <w:rPr>
          <w:rFonts w:ascii="Calibri Light" w:eastAsia="SimSun" w:hAnsi="Calibri Light" w:cs="Calibri Light"/>
          <w:sz w:val="20"/>
          <w:szCs w:val="20"/>
        </w:rPr>
      </w:pPr>
    </w:p>
    <w:p w14:paraId="16CBA497" w14:textId="1D75E94F" w:rsidR="00292EAA" w:rsidRDefault="00292EAA" w:rsidP="00292EAA">
      <w:pPr>
        <w:spacing w:after="0" w:line="240" w:lineRule="auto"/>
        <w:ind w:firstLine="567"/>
        <w:jc w:val="both"/>
        <w:rPr>
          <w:rFonts w:ascii="Calibri Light" w:eastAsia="SimSun" w:hAnsi="Calibri Light" w:cs="Calibri Light"/>
          <w:sz w:val="20"/>
          <w:szCs w:val="20"/>
        </w:rPr>
      </w:pPr>
    </w:p>
    <w:p w14:paraId="4F8434DE" w14:textId="1DED1931" w:rsidR="00292EAA" w:rsidRDefault="00292EAA" w:rsidP="00292EAA">
      <w:pPr>
        <w:spacing w:after="0" w:line="240" w:lineRule="auto"/>
        <w:ind w:firstLine="567"/>
        <w:jc w:val="both"/>
        <w:rPr>
          <w:rFonts w:ascii="Calibri Light" w:eastAsia="SimSun" w:hAnsi="Calibri Light" w:cs="Calibri Light"/>
          <w:sz w:val="20"/>
          <w:szCs w:val="20"/>
        </w:rPr>
      </w:pPr>
    </w:p>
    <w:p w14:paraId="2BEC3FE6" w14:textId="215C1EE4" w:rsidR="00292EAA" w:rsidRDefault="00292EAA" w:rsidP="00292EAA">
      <w:pPr>
        <w:spacing w:after="0" w:line="240" w:lineRule="auto"/>
        <w:ind w:firstLine="567"/>
        <w:jc w:val="both"/>
        <w:rPr>
          <w:rFonts w:ascii="Calibri Light" w:eastAsia="SimSun" w:hAnsi="Calibri Light" w:cs="Calibri Light"/>
          <w:sz w:val="20"/>
          <w:szCs w:val="20"/>
        </w:rPr>
      </w:pPr>
    </w:p>
    <w:p w14:paraId="6619DD7A" w14:textId="09528A8F" w:rsidR="00292EAA" w:rsidRDefault="00292EAA" w:rsidP="00292EAA">
      <w:pPr>
        <w:spacing w:after="0" w:line="240" w:lineRule="auto"/>
        <w:ind w:firstLine="567"/>
        <w:jc w:val="both"/>
        <w:rPr>
          <w:rFonts w:ascii="Calibri Light" w:eastAsia="SimSun" w:hAnsi="Calibri Light" w:cs="Calibri Light"/>
          <w:sz w:val="20"/>
          <w:szCs w:val="20"/>
        </w:rPr>
      </w:pPr>
    </w:p>
    <w:p w14:paraId="6F8DDDFA" w14:textId="77777777" w:rsidR="00292EAA" w:rsidRPr="00292EAA" w:rsidRDefault="00292EAA" w:rsidP="00292EAA">
      <w:pPr>
        <w:spacing w:line="240" w:lineRule="auto"/>
        <w:jc w:val="center"/>
        <w:rPr>
          <w:rFonts w:asciiTheme="majorHAnsi" w:hAnsiTheme="majorHAnsi" w:cstheme="majorHAnsi"/>
          <w:b/>
          <w:color w:val="000000" w:themeColor="text1"/>
          <w:sz w:val="24"/>
          <w:szCs w:val="24"/>
          <w:lang w:eastAsia="lt-LT"/>
        </w:rPr>
      </w:pPr>
      <w:r w:rsidRPr="00292EAA">
        <w:rPr>
          <w:rFonts w:asciiTheme="majorHAnsi" w:hAnsiTheme="majorHAnsi" w:cstheme="majorHAnsi"/>
          <w:b/>
          <w:color w:val="000000" w:themeColor="text1"/>
          <w:sz w:val="24"/>
          <w:szCs w:val="24"/>
          <w:lang w:eastAsia="lt-LT"/>
        </w:rPr>
        <w:lastRenderedPageBreak/>
        <w:t>IV. PASLAUGŲ GAVĖJŲ ĮTRAUKIMO Į PASLAUGŲ PLANAVIMĄ, TEIKIMĄ IR VERTINIMĄ REZULTATAI 2024 M.</w:t>
      </w:r>
    </w:p>
    <w:tbl>
      <w:tblPr>
        <w:tblStyle w:val="Lentelstinklelis1"/>
        <w:tblW w:w="0" w:type="auto"/>
        <w:tblLook w:val="04A0" w:firstRow="1" w:lastRow="0" w:firstColumn="1" w:lastColumn="0" w:noHBand="0" w:noVBand="1"/>
      </w:tblPr>
      <w:tblGrid>
        <w:gridCol w:w="1555"/>
        <w:gridCol w:w="8073"/>
      </w:tblGrid>
      <w:tr w:rsidR="00292EAA" w:rsidRPr="00292EAA" w14:paraId="04B18381" w14:textId="77777777" w:rsidTr="002C0ADB">
        <w:trPr>
          <w:trHeight w:val="694"/>
        </w:trPr>
        <w:tc>
          <w:tcPr>
            <w:tcW w:w="1555" w:type="dxa"/>
          </w:tcPr>
          <w:p w14:paraId="3089AFC4" w14:textId="77777777" w:rsidR="00292EAA" w:rsidRPr="00292EAA" w:rsidRDefault="00292EAA" w:rsidP="00292EAA">
            <w:pPr>
              <w:jc w:val="both"/>
              <w:rPr>
                <w:rFonts w:asciiTheme="majorHAnsi" w:hAnsiTheme="majorHAnsi" w:cstheme="majorHAnsi"/>
                <w:color w:val="000000" w:themeColor="text1"/>
                <w:sz w:val="20"/>
                <w:szCs w:val="20"/>
                <w:lang w:eastAsia="lt-LT"/>
              </w:rPr>
            </w:pPr>
            <w:r w:rsidRPr="00292EAA">
              <w:rPr>
                <w:rFonts w:asciiTheme="majorHAnsi" w:hAnsiTheme="majorHAnsi" w:cstheme="majorHAnsi"/>
                <w:b/>
                <w:sz w:val="20"/>
                <w:szCs w:val="20"/>
                <w:lang w:eastAsia="lt-LT"/>
              </w:rPr>
              <w:t>27 kriterijus</w:t>
            </w:r>
          </w:p>
        </w:tc>
        <w:tc>
          <w:tcPr>
            <w:tcW w:w="8073" w:type="dxa"/>
          </w:tcPr>
          <w:p w14:paraId="2D28B411" w14:textId="77777777" w:rsidR="00292EAA" w:rsidRPr="00292EAA" w:rsidRDefault="00292EAA" w:rsidP="00292EAA">
            <w:pPr>
              <w:jc w:val="both"/>
              <w:rPr>
                <w:rFonts w:asciiTheme="majorHAnsi" w:hAnsiTheme="majorHAnsi" w:cstheme="majorHAnsi"/>
                <w:sz w:val="20"/>
                <w:szCs w:val="20"/>
                <w:lang w:eastAsia="lt-LT"/>
              </w:rPr>
            </w:pPr>
            <w:r w:rsidRPr="00292EAA">
              <w:rPr>
                <w:rFonts w:asciiTheme="majorHAnsi" w:hAnsiTheme="majorHAnsi" w:cstheme="majorHAnsi"/>
                <w:sz w:val="20"/>
                <w:szCs w:val="20"/>
                <w:lang w:eastAsia="lt-LT"/>
              </w:rPr>
              <w:t>Socialinių paslaugų teikėjas įtraukia paslaugų gavėjus kaip aktyvius dalyvius į paslaugų planavimą, teikimą ir vertinimą.</w:t>
            </w:r>
          </w:p>
          <w:p w14:paraId="0D90BD0E" w14:textId="77777777" w:rsidR="00292EAA" w:rsidRPr="00292EAA" w:rsidRDefault="00292EAA" w:rsidP="00292EAA">
            <w:pPr>
              <w:jc w:val="both"/>
              <w:rPr>
                <w:rFonts w:asciiTheme="majorHAnsi" w:hAnsiTheme="majorHAnsi" w:cstheme="majorHAnsi"/>
                <w:color w:val="000000" w:themeColor="text1"/>
                <w:sz w:val="20"/>
                <w:szCs w:val="20"/>
                <w:lang w:eastAsia="lt-LT"/>
              </w:rPr>
            </w:pPr>
          </w:p>
        </w:tc>
      </w:tr>
      <w:tr w:rsidR="00292EAA" w:rsidRPr="00292EAA" w14:paraId="1C9F4D21" w14:textId="77777777" w:rsidTr="002C0ADB">
        <w:tc>
          <w:tcPr>
            <w:tcW w:w="1555" w:type="dxa"/>
          </w:tcPr>
          <w:p w14:paraId="290E8EEE" w14:textId="77777777" w:rsidR="00292EAA" w:rsidRPr="00292EAA" w:rsidRDefault="00292EAA" w:rsidP="00292EAA">
            <w:pPr>
              <w:jc w:val="both"/>
              <w:rPr>
                <w:rFonts w:asciiTheme="majorHAnsi" w:hAnsiTheme="majorHAnsi" w:cstheme="majorHAnsi"/>
                <w:color w:val="000000" w:themeColor="text1"/>
                <w:sz w:val="20"/>
                <w:szCs w:val="20"/>
                <w:lang w:eastAsia="lt-LT"/>
              </w:rPr>
            </w:pPr>
            <w:r w:rsidRPr="00292EAA">
              <w:rPr>
                <w:rFonts w:asciiTheme="majorHAnsi" w:hAnsiTheme="majorHAnsi" w:cstheme="majorHAnsi"/>
                <w:b/>
                <w:sz w:val="20"/>
                <w:szCs w:val="20"/>
                <w:lang w:eastAsia="lt-LT"/>
              </w:rPr>
              <w:t>Rodiklis</w:t>
            </w:r>
          </w:p>
        </w:tc>
        <w:tc>
          <w:tcPr>
            <w:tcW w:w="8073" w:type="dxa"/>
          </w:tcPr>
          <w:p w14:paraId="2E8E1A9A" w14:textId="77777777" w:rsidR="00292EAA" w:rsidRPr="00292EAA" w:rsidRDefault="00292EAA" w:rsidP="00292EAA">
            <w:pPr>
              <w:jc w:val="both"/>
              <w:rPr>
                <w:rFonts w:asciiTheme="majorHAnsi" w:hAnsiTheme="majorHAnsi" w:cstheme="majorHAnsi"/>
                <w:b/>
                <w:color w:val="000000" w:themeColor="text1"/>
                <w:sz w:val="20"/>
                <w:szCs w:val="20"/>
                <w:lang w:eastAsia="lt-LT"/>
              </w:rPr>
            </w:pPr>
            <w:r w:rsidRPr="00292EAA">
              <w:rPr>
                <w:rFonts w:asciiTheme="majorHAnsi" w:hAnsiTheme="majorHAnsi" w:cstheme="majorHAnsi"/>
                <w:b/>
                <w:color w:val="000000" w:themeColor="text1"/>
                <w:sz w:val="20"/>
                <w:szCs w:val="20"/>
                <w:lang w:eastAsia="lt-LT"/>
              </w:rPr>
              <w:t>Paslaugų gavėjų pateiktų pasiūlymų įgyvendinimo lygis, išreikštas pateiktų pasiūlymų skaičiumi 2023 m. ir 2024 m.</w:t>
            </w:r>
          </w:p>
        </w:tc>
      </w:tr>
    </w:tbl>
    <w:p w14:paraId="265EB3E5" w14:textId="74FDFD12" w:rsidR="00292EAA" w:rsidRPr="00292EAA" w:rsidRDefault="00292EAA" w:rsidP="00292EAA">
      <w:pPr>
        <w:spacing w:after="0" w:line="240" w:lineRule="auto"/>
        <w:jc w:val="both"/>
        <w:rPr>
          <w:rFonts w:asciiTheme="majorHAnsi" w:hAnsiTheme="majorHAnsi" w:cstheme="majorHAnsi"/>
          <w:b/>
          <w:color w:val="000000" w:themeColor="text1"/>
          <w:sz w:val="20"/>
          <w:szCs w:val="20"/>
          <w:lang w:eastAsia="lt-LT"/>
        </w:rPr>
      </w:pPr>
      <w:r w:rsidRPr="00292EAA">
        <w:rPr>
          <w:rFonts w:asciiTheme="majorHAnsi" w:hAnsiTheme="majorHAnsi" w:cstheme="majorHAnsi"/>
          <w:noProof/>
          <w:sz w:val="20"/>
          <w:szCs w:val="20"/>
        </w:rPr>
        <w:drawing>
          <wp:anchor distT="0" distB="0" distL="114300" distR="114300" simplePos="0" relativeHeight="251667456" behindDoc="0" locked="0" layoutInCell="1" allowOverlap="1" wp14:anchorId="1DE6C9AC" wp14:editId="2984E090">
            <wp:simplePos x="0" y="0"/>
            <wp:positionH relativeFrom="margin">
              <wp:align>right</wp:align>
            </wp:positionH>
            <wp:positionV relativeFrom="paragraph">
              <wp:posOffset>124626</wp:posOffset>
            </wp:positionV>
            <wp:extent cx="6106464" cy="2694912"/>
            <wp:effectExtent l="0" t="0" r="8890" b="10795"/>
            <wp:wrapNone/>
            <wp:docPr id="5" name="Diagrama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14:sizeRelV relativeFrom="margin">
              <wp14:pctHeight>0</wp14:pctHeight>
            </wp14:sizeRelV>
          </wp:anchor>
        </w:drawing>
      </w:r>
    </w:p>
    <w:p w14:paraId="1A2827EB" w14:textId="1B610B5F" w:rsidR="00292EAA" w:rsidRPr="00292EAA" w:rsidRDefault="00292EAA" w:rsidP="00292EAA">
      <w:pPr>
        <w:spacing w:after="0" w:line="240" w:lineRule="auto"/>
        <w:jc w:val="both"/>
        <w:rPr>
          <w:rFonts w:asciiTheme="majorHAnsi" w:hAnsiTheme="majorHAnsi" w:cstheme="majorHAnsi"/>
          <w:sz w:val="20"/>
          <w:szCs w:val="20"/>
          <w:lang w:eastAsia="lt-LT"/>
        </w:rPr>
      </w:pPr>
    </w:p>
    <w:p w14:paraId="1190200A" w14:textId="77777777" w:rsidR="00292EAA" w:rsidRPr="00292EAA" w:rsidRDefault="00292EAA" w:rsidP="00292EAA">
      <w:pPr>
        <w:spacing w:after="0" w:line="240" w:lineRule="auto"/>
        <w:jc w:val="both"/>
        <w:rPr>
          <w:rFonts w:asciiTheme="majorHAnsi" w:hAnsiTheme="majorHAnsi" w:cstheme="majorHAnsi"/>
          <w:sz w:val="20"/>
          <w:szCs w:val="20"/>
          <w:lang w:eastAsia="lt-LT"/>
        </w:rPr>
      </w:pPr>
    </w:p>
    <w:p w14:paraId="6129E5EA" w14:textId="77777777" w:rsidR="00292EAA" w:rsidRPr="00292EAA" w:rsidRDefault="00292EAA" w:rsidP="00292EAA">
      <w:pPr>
        <w:spacing w:after="0" w:line="240" w:lineRule="auto"/>
        <w:jc w:val="both"/>
        <w:rPr>
          <w:rFonts w:asciiTheme="majorHAnsi" w:hAnsiTheme="majorHAnsi" w:cstheme="majorHAnsi"/>
          <w:b/>
          <w:color w:val="000000" w:themeColor="text1"/>
          <w:sz w:val="20"/>
          <w:szCs w:val="20"/>
          <w:lang w:eastAsia="lt-LT"/>
        </w:rPr>
      </w:pPr>
    </w:p>
    <w:p w14:paraId="1F662A63" w14:textId="77777777" w:rsidR="00292EAA" w:rsidRPr="00292EAA" w:rsidRDefault="00292EAA" w:rsidP="00292EAA">
      <w:pPr>
        <w:spacing w:after="0" w:line="240" w:lineRule="auto"/>
        <w:jc w:val="both"/>
        <w:rPr>
          <w:rFonts w:asciiTheme="majorHAnsi" w:hAnsiTheme="majorHAnsi" w:cstheme="majorHAnsi"/>
          <w:b/>
          <w:color w:val="000000" w:themeColor="text1"/>
          <w:sz w:val="20"/>
          <w:szCs w:val="20"/>
          <w:lang w:eastAsia="lt-LT"/>
        </w:rPr>
      </w:pPr>
    </w:p>
    <w:p w14:paraId="2D74CC6B" w14:textId="77777777" w:rsidR="00292EAA" w:rsidRPr="00292EAA" w:rsidRDefault="00292EAA" w:rsidP="00292EAA">
      <w:pPr>
        <w:spacing w:after="0" w:line="240" w:lineRule="auto"/>
        <w:jc w:val="both"/>
        <w:rPr>
          <w:rFonts w:asciiTheme="majorHAnsi" w:hAnsiTheme="majorHAnsi" w:cstheme="majorHAnsi"/>
          <w:b/>
          <w:color w:val="000000" w:themeColor="text1"/>
          <w:sz w:val="20"/>
          <w:szCs w:val="20"/>
          <w:lang w:eastAsia="lt-LT"/>
        </w:rPr>
      </w:pPr>
    </w:p>
    <w:p w14:paraId="74D2DE0A" w14:textId="77777777" w:rsidR="00292EAA" w:rsidRPr="00292EAA" w:rsidRDefault="00292EAA" w:rsidP="00292EAA">
      <w:pPr>
        <w:spacing w:after="0" w:line="240" w:lineRule="auto"/>
        <w:jc w:val="both"/>
        <w:rPr>
          <w:rFonts w:asciiTheme="majorHAnsi" w:hAnsiTheme="majorHAnsi" w:cstheme="majorHAnsi"/>
          <w:b/>
          <w:color w:val="000000" w:themeColor="text1"/>
          <w:sz w:val="20"/>
          <w:szCs w:val="20"/>
          <w:lang w:eastAsia="lt-LT"/>
        </w:rPr>
      </w:pPr>
    </w:p>
    <w:p w14:paraId="589D162D" w14:textId="77777777" w:rsidR="00292EAA" w:rsidRPr="00292EAA" w:rsidRDefault="00292EAA" w:rsidP="00292EAA">
      <w:pPr>
        <w:spacing w:after="0" w:line="240" w:lineRule="auto"/>
        <w:jc w:val="both"/>
        <w:rPr>
          <w:rFonts w:asciiTheme="majorHAnsi" w:hAnsiTheme="majorHAnsi" w:cstheme="majorHAnsi"/>
          <w:b/>
          <w:color w:val="000000" w:themeColor="text1"/>
          <w:sz w:val="20"/>
          <w:szCs w:val="20"/>
          <w:lang w:eastAsia="lt-LT"/>
        </w:rPr>
      </w:pPr>
    </w:p>
    <w:p w14:paraId="1D688F98" w14:textId="77777777" w:rsidR="00292EAA" w:rsidRPr="00292EAA" w:rsidRDefault="00292EAA" w:rsidP="00292EAA">
      <w:pPr>
        <w:spacing w:after="0" w:line="240" w:lineRule="auto"/>
        <w:jc w:val="both"/>
        <w:rPr>
          <w:rFonts w:asciiTheme="majorHAnsi" w:hAnsiTheme="majorHAnsi" w:cstheme="majorHAnsi"/>
          <w:b/>
          <w:color w:val="000000" w:themeColor="text1"/>
          <w:sz w:val="20"/>
          <w:szCs w:val="20"/>
          <w:lang w:eastAsia="lt-LT"/>
        </w:rPr>
      </w:pPr>
    </w:p>
    <w:p w14:paraId="4F598C7D" w14:textId="77777777" w:rsidR="00292EAA" w:rsidRPr="00292EAA" w:rsidRDefault="00292EAA" w:rsidP="00292EAA">
      <w:pPr>
        <w:spacing w:after="0" w:line="240" w:lineRule="auto"/>
        <w:jc w:val="both"/>
        <w:rPr>
          <w:rFonts w:asciiTheme="majorHAnsi" w:hAnsiTheme="majorHAnsi" w:cstheme="majorHAnsi"/>
          <w:b/>
          <w:color w:val="000000" w:themeColor="text1"/>
          <w:sz w:val="20"/>
          <w:szCs w:val="20"/>
          <w:lang w:eastAsia="lt-LT"/>
        </w:rPr>
      </w:pPr>
    </w:p>
    <w:p w14:paraId="396F822F" w14:textId="77777777" w:rsidR="00292EAA" w:rsidRPr="00292EAA" w:rsidRDefault="00292EAA" w:rsidP="00292EAA">
      <w:pPr>
        <w:spacing w:after="0" w:line="240" w:lineRule="auto"/>
        <w:jc w:val="both"/>
        <w:rPr>
          <w:rFonts w:asciiTheme="majorHAnsi" w:hAnsiTheme="majorHAnsi" w:cstheme="majorHAnsi"/>
          <w:b/>
          <w:color w:val="000000" w:themeColor="text1"/>
          <w:sz w:val="20"/>
          <w:szCs w:val="20"/>
          <w:lang w:eastAsia="lt-LT"/>
        </w:rPr>
      </w:pPr>
    </w:p>
    <w:p w14:paraId="05E218B3" w14:textId="77777777" w:rsidR="00292EAA" w:rsidRPr="00292EAA" w:rsidRDefault="00292EAA" w:rsidP="00292EAA">
      <w:pPr>
        <w:spacing w:after="0" w:line="240" w:lineRule="auto"/>
        <w:jc w:val="both"/>
        <w:rPr>
          <w:rFonts w:asciiTheme="majorHAnsi" w:hAnsiTheme="majorHAnsi" w:cstheme="majorHAnsi"/>
          <w:b/>
          <w:color w:val="000000" w:themeColor="text1"/>
          <w:sz w:val="20"/>
          <w:szCs w:val="20"/>
          <w:lang w:eastAsia="lt-LT"/>
        </w:rPr>
      </w:pPr>
    </w:p>
    <w:p w14:paraId="4DDA336A" w14:textId="77777777" w:rsidR="00292EAA" w:rsidRPr="00292EAA" w:rsidRDefault="00292EAA" w:rsidP="00292EAA">
      <w:pPr>
        <w:spacing w:after="0" w:line="240" w:lineRule="auto"/>
        <w:jc w:val="both"/>
        <w:rPr>
          <w:rFonts w:asciiTheme="majorHAnsi" w:hAnsiTheme="majorHAnsi" w:cstheme="majorHAnsi"/>
          <w:b/>
          <w:color w:val="000000" w:themeColor="text1"/>
          <w:sz w:val="20"/>
          <w:szCs w:val="20"/>
          <w:lang w:eastAsia="lt-LT"/>
        </w:rPr>
      </w:pPr>
    </w:p>
    <w:p w14:paraId="46F33FAD" w14:textId="77777777" w:rsidR="00292EAA" w:rsidRPr="00292EAA" w:rsidRDefault="00292EAA" w:rsidP="00292EAA">
      <w:pPr>
        <w:spacing w:after="0" w:line="240" w:lineRule="auto"/>
        <w:jc w:val="both"/>
        <w:rPr>
          <w:rFonts w:asciiTheme="majorHAnsi" w:hAnsiTheme="majorHAnsi" w:cstheme="majorHAnsi"/>
          <w:b/>
          <w:color w:val="000000" w:themeColor="text1"/>
          <w:sz w:val="20"/>
          <w:szCs w:val="20"/>
          <w:lang w:eastAsia="lt-LT"/>
        </w:rPr>
      </w:pPr>
    </w:p>
    <w:p w14:paraId="7CDEA556" w14:textId="77777777" w:rsidR="00292EAA" w:rsidRPr="00292EAA" w:rsidRDefault="00292EAA" w:rsidP="00292EAA">
      <w:pPr>
        <w:spacing w:after="0" w:line="240" w:lineRule="auto"/>
        <w:jc w:val="both"/>
        <w:rPr>
          <w:rFonts w:asciiTheme="majorHAnsi" w:hAnsiTheme="majorHAnsi" w:cstheme="majorHAnsi"/>
          <w:b/>
          <w:color w:val="000000" w:themeColor="text1"/>
          <w:sz w:val="20"/>
          <w:szCs w:val="20"/>
          <w:lang w:eastAsia="lt-LT"/>
        </w:rPr>
      </w:pPr>
    </w:p>
    <w:p w14:paraId="0479DE1D" w14:textId="77777777" w:rsidR="00292EAA" w:rsidRPr="00292EAA" w:rsidRDefault="00292EAA" w:rsidP="00292EAA">
      <w:pPr>
        <w:spacing w:after="0" w:line="240" w:lineRule="auto"/>
        <w:jc w:val="both"/>
        <w:rPr>
          <w:rFonts w:asciiTheme="majorHAnsi" w:hAnsiTheme="majorHAnsi" w:cstheme="majorHAnsi"/>
          <w:b/>
          <w:color w:val="000000" w:themeColor="text1"/>
          <w:sz w:val="20"/>
          <w:szCs w:val="20"/>
          <w:lang w:eastAsia="lt-LT"/>
        </w:rPr>
      </w:pPr>
    </w:p>
    <w:p w14:paraId="524ABA67" w14:textId="77777777" w:rsidR="00292EAA" w:rsidRPr="00292EAA" w:rsidRDefault="00292EAA" w:rsidP="00292EAA">
      <w:pPr>
        <w:spacing w:after="0" w:line="240" w:lineRule="auto"/>
        <w:jc w:val="both"/>
        <w:rPr>
          <w:rFonts w:asciiTheme="majorHAnsi" w:hAnsiTheme="majorHAnsi" w:cstheme="majorHAnsi"/>
          <w:b/>
          <w:color w:val="000000" w:themeColor="text1"/>
          <w:sz w:val="20"/>
          <w:szCs w:val="20"/>
          <w:lang w:eastAsia="lt-LT"/>
        </w:rPr>
      </w:pPr>
    </w:p>
    <w:p w14:paraId="4D2D1179" w14:textId="00FE5113" w:rsidR="00292EAA" w:rsidRPr="00292EAA" w:rsidRDefault="00707FE7" w:rsidP="00292EAA">
      <w:pPr>
        <w:spacing w:after="0" w:line="240" w:lineRule="auto"/>
        <w:jc w:val="both"/>
        <w:rPr>
          <w:rFonts w:asciiTheme="majorHAnsi" w:hAnsiTheme="majorHAnsi" w:cstheme="majorHAnsi"/>
          <w:color w:val="000000" w:themeColor="text1"/>
          <w:sz w:val="20"/>
          <w:szCs w:val="20"/>
          <w:lang w:eastAsia="lt-LT"/>
        </w:rPr>
      </w:pPr>
      <w:r w:rsidRPr="00292EAA">
        <w:rPr>
          <w:rFonts w:asciiTheme="majorHAnsi" w:hAnsiTheme="majorHAnsi" w:cstheme="majorHAnsi"/>
          <w:noProof/>
          <w:sz w:val="20"/>
          <w:szCs w:val="20"/>
        </w:rPr>
        <w:drawing>
          <wp:anchor distT="0" distB="0" distL="114300" distR="114300" simplePos="0" relativeHeight="251666432" behindDoc="0" locked="0" layoutInCell="1" allowOverlap="1" wp14:anchorId="0180F7A1" wp14:editId="4BE40E48">
            <wp:simplePos x="0" y="0"/>
            <wp:positionH relativeFrom="margin">
              <wp:align>left</wp:align>
            </wp:positionH>
            <wp:positionV relativeFrom="paragraph">
              <wp:posOffset>271780</wp:posOffset>
            </wp:positionV>
            <wp:extent cx="6121400" cy="2366645"/>
            <wp:effectExtent l="0" t="0" r="12700" b="14605"/>
            <wp:wrapTopAndBottom/>
            <wp:docPr id="2" name="Diagrama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p>
    <w:p w14:paraId="55043B4D" w14:textId="5802DDA8" w:rsidR="00292EAA" w:rsidRPr="00292EAA" w:rsidRDefault="00292EAA" w:rsidP="00292EAA">
      <w:pPr>
        <w:spacing w:after="0" w:line="240" w:lineRule="auto"/>
        <w:ind w:firstLine="993"/>
        <w:jc w:val="both"/>
        <w:rPr>
          <w:rFonts w:asciiTheme="majorHAnsi" w:hAnsiTheme="majorHAnsi" w:cstheme="majorHAnsi"/>
          <w:color w:val="000000" w:themeColor="text1"/>
          <w:sz w:val="20"/>
          <w:szCs w:val="20"/>
          <w:lang w:eastAsia="lt-LT"/>
        </w:rPr>
      </w:pPr>
      <w:r w:rsidRPr="00292EAA">
        <w:rPr>
          <w:rFonts w:asciiTheme="majorHAnsi" w:hAnsiTheme="majorHAnsi" w:cstheme="majorHAnsi"/>
          <w:color w:val="000000" w:themeColor="text1"/>
          <w:sz w:val="20"/>
          <w:szCs w:val="20"/>
          <w:lang w:eastAsia="lt-LT"/>
        </w:rPr>
        <w:t>PG įsitraukimo į paslaugų planavimą, teikimą ir vertinimą matavimas buvo atliekamas 2024 m. spalio mėn., analizuojant PG pateiktus ir įgyvendintus pasiūlymus. 2024 m. kovo mėn. PG buvo paruoštas atnaujintas pasiūlymų registravimo žurnalas „Vaikų pasiūlymai“ (kategorijos: užimtumas, higienos ir savitvarkos įgūdžiai, maisto įgūdžiai, socialinė įtrauktis ir vertinimas pateikiamas šviesoforo principu: įgyvendinta, iš dalies įgyvendinta, neįgyvendinta). 1 pav. ir 2 pav. parodytas PG 2023 m. – 2024 m. pateiktų ir įgyvendintų pasiūlymų pasiskirstymas. Iš viso 2023 m. buvo gauti 217 (n = 19), o 2024 m. buvo gauti 2118 (n = 87) pasiūlymai, pastebima, kad 2023 m. daugiausiai įgyvendintų PG pasiūlymų buvo susijusių su veikla lauke (n = 32), menine veikla (n = 31), o 2024 m. daugiausiai paslaugų gavėjai išreiškė, kad yra patenkinti „Užimtumas“ (n = 838), „Socialinė įtrauktis (n  = 372), „Higienos ir savitvarkos  įgūdžiai“ (n  = 371) paslaugomis. Pažymima, kad 2023 m. į apklausą įsitraukė 19 PG, o 2024 m. net 87 PG.</w:t>
      </w:r>
      <w:r w:rsidRPr="00292EAA">
        <w:rPr>
          <w:rFonts w:asciiTheme="majorHAnsi" w:hAnsiTheme="majorHAnsi" w:cstheme="majorHAnsi"/>
          <w:b/>
          <w:color w:val="000000" w:themeColor="text1"/>
          <w:sz w:val="20"/>
          <w:szCs w:val="20"/>
          <w:lang w:eastAsia="lt-LT"/>
        </w:rPr>
        <w:t xml:space="preserve"> </w:t>
      </w:r>
    </w:p>
    <w:p w14:paraId="1E63EBD7" w14:textId="77777777" w:rsidR="00292EAA" w:rsidRPr="00292EAA" w:rsidRDefault="00292EAA" w:rsidP="00292EAA">
      <w:pPr>
        <w:spacing w:after="0" w:line="240" w:lineRule="auto"/>
        <w:ind w:firstLine="851"/>
        <w:jc w:val="both"/>
        <w:rPr>
          <w:rFonts w:asciiTheme="majorHAnsi" w:hAnsiTheme="majorHAnsi" w:cstheme="majorHAnsi"/>
          <w:color w:val="000000" w:themeColor="text1"/>
          <w:sz w:val="20"/>
          <w:szCs w:val="20"/>
          <w:lang w:eastAsia="lt-LT"/>
        </w:rPr>
      </w:pPr>
      <w:r w:rsidRPr="00292EAA">
        <w:rPr>
          <w:rFonts w:asciiTheme="majorHAnsi" w:hAnsiTheme="majorHAnsi" w:cstheme="majorHAnsi"/>
          <w:color w:val="000000" w:themeColor="text1"/>
          <w:sz w:val="20"/>
          <w:szCs w:val="20"/>
          <w:lang w:eastAsia="lt-LT"/>
        </w:rPr>
        <w:t xml:space="preserve">Atlikus PG įtraukimo į paslaugų planavimą, teikimą vertinimą, galima teigti, kad PG yra sudarytos sąlygos teikti pasiūlymus dėl veiklos gerinimo. </w:t>
      </w:r>
    </w:p>
    <w:p w14:paraId="7A5B5C09" w14:textId="465A5ED0" w:rsidR="00292EAA" w:rsidRDefault="00292EAA" w:rsidP="00292EAA">
      <w:pPr>
        <w:spacing w:after="0" w:line="240" w:lineRule="auto"/>
        <w:ind w:firstLine="851"/>
        <w:jc w:val="both"/>
        <w:rPr>
          <w:rFonts w:asciiTheme="majorHAnsi" w:hAnsiTheme="majorHAnsi" w:cstheme="majorHAnsi"/>
          <w:sz w:val="20"/>
          <w:szCs w:val="20"/>
          <w:lang w:eastAsia="lt-LT"/>
        </w:rPr>
      </w:pPr>
      <w:r w:rsidRPr="00292EAA">
        <w:rPr>
          <w:rFonts w:asciiTheme="majorHAnsi" w:hAnsiTheme="majorHAnsi" w:cstheme="majorHAnsi"/>
          <w:sz w:val="20"/>
          <w:szCs w:val="20"/>
          <w:lang w:eastAsia="lt-LT"/>
        </w:rPr>
        <w:t>Siekiant gerinti PG įtraukimo į paslaugų planavimo, teikimo ir vertinimo rodiklius 2025 m. numatoma pakoreguoti „Vaikų pasiūlymų“ anketą paslaugų gavėjams, kurią papildys „terapijos“ skiltis bei siekiant tausoti gamtos resursus „Vaiko pasiūlymai“ žurnalas bus skirtas dienos socialinės globos centrų grupėms, o ne individualus.</w:t>
      </w:r>
    </w:p>
    <w:p w14:paraId="13F42509" w14:textId="183D8B16" w:rsidR="00292EAA" w:rsidRDefault="00292EAA" w:rsidP="00292EAA">
      <w:pPr>
        <w:spacing w:after="0" w:line="240" w:lineRule="auto"/>
        <w:ind w:firstLine="851"/>
        <w:jc w:val="both"/>
        <w:rPr>
          <w:rFonts w:asciiTheme="majorHAnsi" w:hAnsiTheme="majorHAnsi" w:cstheme="majorHAnsi"/>
          <w:sz w:val="20"/>
          <w:szCs w:val="20"/>
          <w:lang w:eastAsia="lt-LT"/>
        </w:rPr>
      </w:pPr>
    </w:p>
    <w:p w14:paraId="7D0B5C20" w14:textId="77777777" w:rsidR="00292EAA" w:rsidRPr="00292EAA" w:rsidRDefault="00292EAA" w:rsidP="00292EAA">
      <w:pPr>
        <w:spacing w:after="0" w:line="276" w:lineRule="auto"/>
        <w:jc w:val="center"/>
        <w:rPr>
          <w:rFonts w:ascii="Calibri Light" w:eastAsia="Calibri" w:hAnsi="Calibri Light" w:cs="Calibri Light"/>
          <w:b/>
          <w:sz w:val="24"/>
          <w:szCs w:val="24"/>
          <w:lang w:eastAsia="lt-LT"/>
        </w:rPr>
      </w:pPr>
      <w:r w:rsidRPr="00292EAA">
        <w:rPr>
          <w:rFonts w:ascii="Calibri Light" w:eastAsia="Calibri" w:hAnsi="Calibri Light" w:cs="Calibri Light"/>
          <w:b/>
          <w:sz w:val="24"/>
          <w:szCs w:val="24"/>
          <w:lang w:eastAsia="lt-LT"/>
        </w:rPr>
        <w:lastRenderedPageBreak/>
        <w:t>V. PASLAUGŲ GAVĖJŲ ĮGALINIMO REZULTATAI 2024 M.</w:t>
      </w:r>
    </w:p>
    <w:p w14:paraId="37DA25EC" w14:textId="1D3C9F97" w:rsidR="00292EAA" w:rsidRPr="00292EAA" w:rsidRDefault="00292EAA" w:rsidP="00292EAA">
      <w:pPr>
        <w:spacing w:after="0" w:line="276" w:lineRule="auto"/>
        <w:jc w:val="center"/>
        <w:rPr>
          <w:rFonts w:ascii="Times New Roman" w:eastAsia="Calibri" w:hAnsi="Times New Roman" w:cs="Times New Roman"/>
          <w:b/>
          <w:sz w:val="24"/>
          <w:szCs w:val="24"/>
          <w:lang w:eastAsia="lt-LT"/>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0"/>
        <w:gridCol w:w="7649"/>
      </w:tblGrid>
      <w:tr w:rsidR="00292EAA" w:rsidRPr="00292EAA" w14:paraId="488B1248" w14:textId="77777777" w:rsidTr="002C0ADB">
        <w:tc>
          <w:tcPr>
            <w:tcW w:w="1980" w:type="dxa"/>
            <w:vAlign w:val="center"/>
          </w:tcPr>
          <w:p w14:paraId="46ED9099" w14:textId="77777777" w:rsidR="00292EAA" w:rsidRPr="00292EAA" w:rsidRDefault="00292EAA" w:rsidP="00292EAA">
            <w:pPr>
              <w:spacing w:after="0" w:line="240" w:lineRule="auto"/>
              <w:jc w:val="both"/>
              <w:rPr>
                <w:rFonts w:ascii="Calibri Light" w:eastAsia="Calibri" w:hAnsi="Calibri Light" w:cs="Calibri Light"/>
                <w:b/>
                <w:sz w:val="20"/>
                <w:szCs w:val="20"/>
              </w:rPr>
            </w:pPr>
            <w:r w:rsidRPr="00292EAA">
              <w:rPr>
                <w:rFonts w:ascii="Calibri Light" w:eastAsia="Calibri" w:hAnsi="Calibri Light" w:cs="Calibri Light"/>
                <w:b/>
                <w:sz w:val="20"/>
                <w:szCs w:val="20"/>
              </w:rPr>
              <w:t>29 kriterijus</w:t>
            </w:r>
          </w:p>
        </w:tc>
        <w:tc>
          <w:tcPr>
            <w:tcW w:w="7649" w:type="dxa"/>
          </w:tcPr>
          <w:p w14:paraId="22D10A76" w14:textId="77777777" w:rsidR="00292EAA" w:rsidRPr="00292EAA" w:rsidRDefault="00292EAA" w:rsidP="00292EAA">
            <w:pPr>
              <w:spacing w:after="0" w:line="240" w:lineRule="auto"/>
              <w:contextualSpacing/>
              <w:jc w:val="both"/>
              <w:rPr>
                <w:rFonts w:ascii="Calibri Light" w:eastAsia="Calibri" w:hAnsi="Calibri Light" w:cs="Calibri Light"/>
                <w:sz w:val="20"/>
                <w:szCs w:val="20"/>
              </w:rPr>
            </w:pPr>
            <w:r w:rsidRPr="00292EAA">
              <w:rPr>
                <w:rFonts w:ascii="Calibri Light" w:eastAsia="Calibri" w:hAnsi="Calibri Light" w:cs="Calibri Light"/>
                <w:sz w:val="20"/>
                <w:szCs w:val="20"/>
              </w:rPr>
              <w:t>Socialinių paslaugų teikėjas taiko specifines priemones, kad personalas ir paslaugų vartotojas suprastų, didintų ir gerintų paslaugų gavėjų įgalinimą.</w:t>
            </w:r>
          </w:p>
        </w:tc>
      </w:tr>
      <w:tr w:rsidR="00292EAA" w:rsidRPr="00292EAA" w14:paraId="76435708" w14:textId="77777777" w:rsidTr="002C0ADB">
        <w:trPr>
          <w:trHeight w:val="545"/>
        </w:trPr>
        <w:tc>
          <w:tcPr>
            <w:tcW w:w="1980" w:type="dxa"/>
            <w:vAlign w:val="center"/>
          </w:tcPr>
          <w:p w14:paraId="1A491D97" w14:textId="77777777" w:rsidR="00292EAA" w:rsidRPr="00292EAA" w:rsidRDefault="00292EAA" w:rsidP="00292EAA">
            <w:pPr>
              <w:spacing w:after="0" w:line="240" w:lineRule="auto"/>
              <w:jc w:val="both"/>
              <w:rPr>
                <w:rFonts w:ascii="Calibri Light" w:eastAsia="Calibri" w:hAnsi="Calibri Light" w:cs="Calibri Light"/>
                <w:b/>
                <w:bCs/>
                <w:sz w:val="20"/>
                <w:szCs w:val="20"/>
              </w:rPr>
            </w:pPr>
            <w:r w:rsidRPr="00292EAA">
              <w:rPr>
                <w:rFonts w:ascii="Calibri Light" w:eastAsia="Calibri" w:hAnsi="Calibri Light" w:cs="Calibri Light"/>
                <w:b/>
                <w:bCs/>
                <w:sz w:val="20"/>
                <w:szCs w:val="20"/>
              </w:rPr>
              <w:t>45 Rodiklis</w:t>
            </w:r>
          </w:p>
        </w:tc>
        <w:tc>
          <w:tcPr>
            <w:tcW w:w="7649" w:type="dxa"/>
          </w:tcPr>
          <w:p w14:paraId="0200DDA3" w14:textId="77777777" w:rsidR="00292EAA" w:rsidRPr="00292EAA" w:rsidRDefault="00292EAA" w:rsidP="00292EAA">
            <w:pPr>
              <w:spacing w:after="0" w:line="240" w:lineRule="auto"/>
              <w:jc w:val="both"/>
              <w:rPr>
                <w:rFonts w:ascii="Calibri Light" w:eastAsia="Calibri" w:hAnsi="Calibri Light" w:cs="Calibri Light"/>
                <w:b/>
                <w:sz w:val="20"/>
                <w:szCs w:val="20"/>
              </w:rPr>
            </w:pPr>
            <w:r w:rsidRPr="00292EAA">
              <w:rPr>
                <w:rFonts w:ascii="Calibri Light" w:eastAsia="Calibri" w:hAnsi="Calibri Light" w:cs="Calibri Light"/>
                <w:b/>
                <w:sz w:val="20"/>
                <w:szCs w:val="20"/>
              </w:rPr>
              <w:t>Paslaugų gavėjų savarankiškumo lygio išlaikymo ar padidėjimo procentinė išraiška 2023 m.- 2024 m.</w:t>
            </w:r>
          </w:p>
        </w:tc>
      </w:tr>
    </w:tbl>
    <w:p w14:paraId="106EBD2E" w14:textId="39C3365A" w:rsidR="00292EAA" w:rsidRPr="00707FE7" w:rsidRDefault="00707FE7" w:rsidP="00707FE7">
      <w:pPr>
        <w:spacing w:after="0" w:line="276" w:lineRule="auto"/>
        <w:jc w:val="right"/>
        <w:rPr>
          <w:rFonts w:asciiTheme="majorHAnsi" w:eastAsia="Calibri" w:hAnsiTheme="majorHAnsi" w:cstheme="majorHAnsi"/>
          <w:sz w:val="20"/>
          <w:szCs w:val="20"/>
        </w:rPr>
      </w:pPr>
      <w:r w:rsidRPr="00707FE7">
        <w:rPr>
          <w:rFonts w:asciiTheme="majorHAnsi" w:eastAsia="Calibri" w:hAnsiTheme="majorHAnsi" w:cstheme="majorHAnsi"/>
          <w:i/>
          <w:noProof/>
          <w:sz w:val="20"/>
          <w:szCs w:val="20"/>
          <w:lang w:eastAsia="lt-LT"/>
        </w:rPr>
        <w:drawing>
          <wp:anchor distT="0" distB="0" distL="114300" distR="114300" simplePos="0" relativeHeight="251669504" behindDoc="0" locked="0" layoutInCell="1" allowOverlap="1" wp14:anchorId="2A5A6495" wp14:editId="3401455B">
            <wp:simplePos x="0" y="0"/>
            <wp:positionH relativeFrom="column">
              <wp:posOffset>-22860</wp:posOffset>
            </wp:positionH>
            <wp:positionV relativeFrom="paragraph">
              <wp:posOffset>173990</wp:posOffset>
            </wp:positionV>
            <wp:extent cx="6106160" cy="3882390"/>
            <wp:effectExtent l="0" t="0" r="8890" b="3810"/>
            <wp:wrapThrough wrapText="bothSides">
              <wp:wrapPolygon edited="0">
                <wp:start x="0" y="0"/>
                <wp:lineTo x="0" y="21515"/>
                <wp:lineTo x="21564" y="21515"/>
                <wp:lineTo x="21564" y="0"/>
                <wp:lineTo x="0" y="0"/>
              </wp:wrapPolygon>
            </wp:wrapThrough>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6106160" cy="3882390"/>
                    </a:xfrm>
                    <a:prstGeom prst="rect">
                      <a:avLst/>
                    </a:prstGeom>
                  </pic:spPr>
                </pic:pic>
              </a:graphicData>
            </a:graphic>
            <wp14:sizeRelH relativeFrom="page">
              <wp14:pctWidth>0</wp14:pctWidth>
            </wp14:sizeRelH>
            <wp14:sizeRelV relativeFrom="page">
              <wp14:pctHeight>0</wp14:pctHeight>
            </wp14:sizeRelV>
          </wp:anchor>
        </w:drawing>
      </w:r>
    </w:p>
    <w:p w14:paraId="2FCDAD77" w14:textId="3888BAD3" w:rsidR="00707FE7" w:rsidRDefault="00707FE7" w:rsidP="00292EAA">
      <w:pPr>
        <w:spacing w:after="0" w:line="240" w:lineRule="auto"/>
        <w:ind w:firstLine="567"/>
        <w:jc w:val="both"/>
        <w:rPr>
          <w:rFonts w:ascii="Calibri Light" w:eastAsia="Calibri" w:hAnsi="Calibri Light" w:cs="Calibri Light"/>
          <w:sz w:val="20"/>
          <w:szCs w:val="20"/>
        </w:rPr>
      </w:pPr>
      <w:r>
        <w:rPr>
          <w:rFonts w:ascii="Calibri Light" w:eastAsia="Calibri" w:hAnsi="Calibri Light" w:cs="Calibri Light"/>
          <w:sz w:val="20"/>
          <w:szCs w:val="20"/>
        </w:rPr>
        <w:t xml:space="preserve">                                                                                                                                                                                     </w:t>
      </w:r>
    </w:p>
    <w:p w14:paraId="3F8350C1" w14:textId="10F55BC1" w:rsidR="00292EAA" w:rsidRPr="00292EAA" w:rsidRDefault="00292EAA" w:rsidP="00292EAA">
      <w:pPr>
        <w:spacing w:after="0" w:line="240" w:lineRule="auto"/>
        <w:ind w:firstLine="567"/>
        <w:jc w:val="both"/>
        <w:rPr>
          <w:rFonts w:ascii="Calibri Light" w:eastAsia="Calibri" w:hAnsi="Calibri Light" w:cs="Calibri Light"/>
          <w:sz w:val="20"/>
          <w:szCs w:val="20"/>
        </w:rPr>
      </w:pPr>
      <w:r w:rsidRPr="00292EAA">
        <w:rPr>
          <w:rFonts w:ascii="Calibri Light" w:eastAsia="Calibri" w:hAnsi="Calibri Light" w:cs="Calibri Light"/>
          <w:sz w:val="20"/>
          <w:szCs w:val="20"/>
        </w:rPr>
        <w:t xml:space="preserve">2024 m. rugsėjo mėn. anketinės apklausos, pritaikytos PG, būdu buvo tirtas PG savarankiškumo lygio išlaikymas ar padidėjimas lyginant su 2023 m. Savarankiškumo sritys kaip ir 2023 m. buvo pasirinktos pagal Įstaigoje patvirtinto ISGP savarankiškumo sritis. </w:t>
      </w:r>
    </w:p>
    <w:p w14:paraId="2BBDE46A" w14:textId="77777777" w:rsidR="00292EAA" w:rsidRPr="00292EAA" w:rsidRDefault="00292EAA" w:rsidP="00292EAA">
      <w:pPr>
        <w:spacing w:after="0" w:line="240" w:lineRule="auto"/>
        <w:ind w:firstLine="567"/>
        <w:jc w:val="both"/>
        <w:rPr>
          <w:rFonts w:ascii="Calibri Light" w:eastAsia="Calibri" w:hAnsi="Calibri Light" w:cs="Calibri Light"/>
          <w:b/>
          <w:sz w:val="20"/>
          <w:szCs w:val="20"/>
        </w:rPr>
      </w:pPr>
      <w:r w:rsidRPr="00292EAA">
        <w:rPr>
          <w:rFonts w:ascii="Calibri Light" w:eastAsia="Calibri" w:hAnsi="Calibri Light" w:cs="Calibri Light"/>
          <w:sz w:val="20"/>
          <w:szCs w:val="20"/>
        </w:rPr>
        <w:t>Apklausoje viso dalyvavo 91 (2023 m. 68 ) PG. Rezultatai parodė, jog praktiškai visose savarankiškumo srityse stebimas PG savarankiškumo lygio augimas. Toks pat savarankiškumo lygis (94%) išliko mėgstamos veiklos pasirinkimo srityje.</w:t>
      </w:r>
    </w:p>
    <w:p w14:paraId="2EF08A5B" w14:textId="77777777" w:rsidR="00292EAA" w:rsidRPr="00292EAA" w:rsidRDefault="00292EAA" w:rsidP="00292EAA">
      <w:pPr>
        <w:spacing w:after="0" w:line="240" w:lineRule="auto"/>
        <w:ind w:firstLine="567"/>
        <w:jc w:val="both"/>
        <w:rPr>
          <w:rFonts w:ascii="Calibri Light" w:eastAsia="Calibri" w:hAnsi="Calibri Light" w:cs="Calibri Light"/>
          <w:sz w:val="20"/>
          <w:szCs w:val="20"/>
        </w:rPr>
      </w:pPr>
      <w:r w:rsidRPr="00292EAA">
        <w:rPr>
          <w:rFonts w:ascii="Calibri Light" w:eastAsia="Calibri" w:hAnsi="Calibri Light" w:cs="Calibri Light"/>
          <w:sz w:val="20"/>
          <w:szCs w:val="20"/>
        </w:rPr>
        <w:t xml:space="preserve">Apibendrinant rezultatus, galima daryti išvadą, jog Įstaigoje yra sukurta pakankamai efektyvi PG įgalinimo koncepcija, kuri užtikrina PG savarankiškumo lygio augimą. PG įgalinimo procesas yra tęstinis ir dinamiškas procesas, todėl numatoma reguliariai tirti PG savarankiškumo lygio pokyčius bei peržiūrėti ir, pagal poreikį, tobulinti Įstaigos PG įgalinimo koncepciją. </w:t>
      </w:r>
    </w:p>
    <w:p w14:paraId="5CF88259" w14:textId="77777777" w:rsidR="00292EAA" w:rsidRPr="00292EAA" w:rsidRDefault="00292EAA" w:rsidP="00292EAA">
      <w:pPr>
        <w:spacing w:after="0" w:line="240" w:lineRule="auto"/>
        <w:ind w:firstLine="567"/>
        <w:jc w:val="both"/>
        <w:rPr>
          <w:rFonts w:ascii="Calibri Light" w:eastAsia="Calibri" w:hAnsi="Calibri Light" w:cs="Calibri Light"/>
          <w:sz w:val="20"/>
          <w:szCs w:val="20"/>
        </w:rPr>
      </w:pPr>
      <w:r w:rsidRPr="00292EAA">
        <w:rPr>
          <w:rFonts w:ascii="Calibri Light" w:eastAsia="Calibri" w:hAnsi="Calibri Light" w:cs="Calibri Light"/>
          <w:sz w:val="20"/>
          <w:szCs w:val="20"/>
        </w:rPr>
        <w:t>Atsižvelgiant į gautas išvadas, numatoma:</w:t>
      </w:r>
    </w:p>
    <w:p w14:paraId="44AD8080" w14:textId="77777777" w:rsidR="00292EAA" w:rsidRPr="00292EAA" w:rsidRDefault="00292EAA" w:rsidP="00292EAA">
      <w:pPr>
        <w:spacing w:after="0" w:line="240" w:lineRule="auto"/>
        <w:ind w:firstLine="567"/>
        <w:jc w:val="both"/>
        <w:rPr>
          <w:rFonts w:ascii="Calibri Light" w:eastAsia="Calibri" w:hAnsi="Calibri Light" w:cs="Calibri Light"/>
          <w:sz w:val="20"/>
          <w:szCs w:val="20"/>
        </w:rPr>
      </w:pPr>
      <w:r w:rsidRPr="00292EAA">
        <w:rPr>
          <w:rFonts w:ascii="Calibri Light" w:eastAsia="Calibri" w:hAnsi="Calibri Light" w:cs="Calibri Light"/>
          <w:sz w:val="20"/>
          <w:szCs w:val="20"/>
        </w:rPr>
        <w:t>1. 2025 m. kas ketvirtį supažindinti PG su jiems pritaikyta vizualizuota įgalinimo koncepcijos schema. Atsakingi asmenys, supažindins ir užfiksuos supažindinimo faktą;</w:t>
      </w:r>
    </w:p>
    <w:p w14:paraId="4F27851E" w14:textId="77777777" w:rsidR="00292EAA" w:rsidRPr="00292EAA" w:rsidRDefault="00292EAA" w:rsidP="00292EAA">
      <w:pPr>
        <w:spacing w:after="0" w:line="240" w:lineRule="auto"/>
        <w:ind w:firstLine="567"/>
        <w:jc w:val="both"/>
        <w:rPr>
          <w:rFonts w:ascii="Calibri Light" w:eastAsia="Calibri" w:hAnsi="Calibri Light" w:cs="Calibri Light"/>
          <w:sz w:val="20"/>
          <w:szCs w:val="20"/>
        </w:rPr>
      </w:pPr>
      <w:r w:rsidRPr="00292EAA">
        <w:rPr>
          <w:rFonts w:ascii="Calibri Light" w:eastAsia="Calibri" w:hAnsi="Calibri Light" w:cs="Calibri Light"/>
          <w:sz w:val="20"/>
          <w:szCs w:val="20"/>
        </w:rPr>
        <w:t xml:space="preserve">2. 2025 m. gruodžio mėn. pamatuoti PG įgalinimo rezultatus, tobulinant apklausą. </w:t>
      </w:r>
    </w:p>
    <w:p w14:paraId="3A2AA8D7" w14:textId="77777777" w:rsidR="00292EAA" w:rsidRPr="00292EAA" w:rsidRDefault="00292EAA" w:rsidP="00292EAA">
      <w:pPr>
        <w:spacing w:after="0" w:line="240" w:lineRule="auto"/>
        <w:jc w:val="both"/>
        <w:rPr>
          <w:rFonts w:ascii="Calibri Light" w:eastAsia="Calibri" w:hAnsi="Calibri Light" w:cs="Calibri Light"/>
          <w:sz w:val="20"/>
          <w:szCs w:val="20"/>
        </w:rPr>
      </w:pPr>
    </w:p>
    <w:p w14:paraId="119C0AE3" w14:textId="77777777" w:rsidR="00292EAA" w:rsidRPr="00292EAA" w:rsidRDefault="00292EAA" w:rsidP="00292EAA">
      <w:pPr>
        <w:spacing w:after="0" w:line="240" w:lineRule="auto"/>
        <w:jc w:val="both"/>
        <w:rPr>
          <w:rFonts w:ascii="Times New Roman" w:eastAsia="Calibri" w:hAnsi="Times New Roman" w:cs="Calibri"/>
          <w:sz w:val="24"/>
          <w:szCs w:val="24"/>
        </w:rPr>
      </w:pPr>
    </w:p>
    <w:p w14:paraId="0C0D830B" w14:textId="4609D492" w:rsidR="00292EAA" w:rsidRDefault="00292EAA" w:rsidP="00292EAA">
      <w:pPr>
        <w:spacing w:after="0" w:line="240" w:lineRule="auto"/>
        <w:ind w:firstLine="851"/>
        <w:jc w:val="both"/>
        <w:rPr>
          <w:rFonts w:asciiTheme="majorHAnsi" w:hAnsiTheme="majorHAnsi" w:cstheme="majorHAnsi"/>
          <w:sz w:val="20"/>
          <w:szCs w:val="20"/>
          <w:lang w:eastAsia="lt-LT"/>
        </w:rPr>
      </w:pPr>
    </w:p>
    <w:p w14:paraId="022CC21B" w14:textId="0A1F29DA" w:rsidR="00292EAA" w:rsidRDefault="00292EAA" w:rsidP="00292EAA">
      <w:pPr>
        <w:spacing w:after="0" w:line="240" w:lineRule="auto"/>
        <w:ind w:firstLine="851"/>
        <w:jc w:val="both"/>
        <w:rPr>
          <w:rFonts w:asciiTheme="majorHAnsi" w:hAnsiTheme="majorHAnsi" w:cstheme="majorHAnsi"/>
          <w:sz w:val="20"/>
          <w:szCs w:val="20"/>
          <w:lang w:eastAsia="lt-LT"/>
        </w:rPr>
      </w:pPr>
    </w:p>
    <w:p w14:paraId="689551D5" w14:textId="43714DB5" w:rsidR="00292EAA" w:rsidRDefault="00292EAA" w:rsidP="00292EAA">
      <w:pPr>
        <w:spacing w:after="0" w:line="240" w:lineRule="auto"/>
        <w:ind w:firstLine="851"/>
        <w:jc w:val="both"/>
        <w:rPr>
          <w:rFonts w:asciiTheme="majorHAnsi" w:hAnsiTheme="majorHAnsi" w:cstheme="majorHAnsi"/>
          <w:sz w:val="20"/>
          <w:szCs w:val="20"/>
          <w:lang w:eastAsia="lt-LT"/>
        </w:rPr>
      </w:pPr>
    </w:p>
    <w:p w14:paraId="6CBEF48A" w14:textId="74B83F86" w:rsidR="00292EAA" w:rsidRDefault="00292EAA" w:rsidP="00292EAA">
      <w:pPr>
        <w:spacing w:after="0" w:line="240" w:lineRule="auto"/>
        <w:ind w:firstLine="851"/>
        <w:jc w:val="both"/>
        <w:rPr>
          <w:rFonts w:asciiTheme="majorHAnsi" w:hAnsiTheme="majorHAnsi" w:cstheme="majorHAnsi"/>
          <w:sz w:val="20"/>
          <w:szCs w:val="20"/>
          <w:lang w:eastAsia="lt-LT"/>
        </w:rPr>
      </w:pPr>
    </w:p>
    <w:p w14:paraId="5B69FF60" w14:textId="0C76DDEB" w:rsidR="00292EAA" w:rsidRDefault="00292EAA" w:rsidP="00292EAA">
      <w:pPr>
        <w:spacing w:after="0" w:line="240" w:lineRule="auto"/>
        <w:ind w:firstLine="851"/>
        <w:jc w:val="both"/>
        <w:rPr>
          <w:rFonts w:asciiTheme="majorHAnsi" w:hAnsiTheme="majorHAnsi" w:cstheme="majorHAnsi"/>
          <w:sz w:val="20"/>
          <w:szCs w:val="20"/>
          <w:lang w:eastAsia="lt-LT"/>
        </w:rPr>
      </w:pPr>
    </w:p>
    <w:p w14:paraId="472C4442" w14:textId="0843612F" w:rsidR="00292EAA" w:rsidRDefault="00292EAA" w:rsidP="00292EAA">
      <w:pPr>
        <w:spacing w:after="0" w:line="240" w:lineRule="auto"/>
        <w:ind w:firstLine="851"/>
        <w:jc w:val="both"/>
        <w:rPr>
          <w:rFonts w:asciiTheme="majorHAnsi" w:hAnsiTheme="majorHAnsi" w:cstheme="majorHAnsi"/>
          <w:sz w:val="20"/>
          <w:szCs w:val="20"/>
          <w:lang w:eastAsia="lt-LT"/>
        </w:rPr>
      </w:pPr>
    </w:p>
    <w:p w14:paraId="1BF40D4F" w14:textId="7CAF633E" w:rsidR="00292EAA" w:rsidRDefault="00292EAA" w:rsidP="00292EAA">
      <w:pPr>
        <w:spacing w:after="0" w:line="240" w:lineRule="auto"/>
        <w:ind w:firstLine="851"/>
        <w:jc w:val="both"/>
        <w:rPr>
          <w:rFonts w:asciiTheme="majorHAnsi" w:hAnsiTheme="majorHAnsi" w:cstheme="majorHAnsi"/>
          <w:sz w:val="20"/>
          <w:szCs w:val="20"/>
          <w:lang w:eastAsia="lt-LT"/>
        </w:rPr>
      </w:pPr>
    </w:p>
    <w:p w14:paraId="63D86201" w14:textId="77777777" w:rsidR="00292EAA" w:rsidRPr="00292EAA" w:rsidRDefault="00292EAA" w:rsidP="00292EAA">
      <w:pPr>
        <w:spacing w:after="0" w:line="240" w:lineRule="auto"/>
        <w:ind w:left="360"/>
        <w:jc w:val="center"/>
        <w:rPr>
          <w:rFonts w:asciiTheme="majorHAnsi" w:eastAsia="Calibri" w:hAnsiTheme="majorHAnsi" w:cstheme="majorHAnsi"/>
          <w:b/>
          <w:sz w:val="24"/>
          <w:szCs w:val="24"/>
        </w:rPr>
      </w:pPr>
      <w:r w:rsidRPr="00292EAA">
        <w:rPr>
          <w:rFonts w:asciiTheme="majorHAnsi" w:eastAsia="Calibri" w:hAnsiTheme="majorHAnsi" w:cstheme="majorHAnsi"/>
          <w:b/>
          <w:sz w:val="24"/>
          <w:szCs w:val="24"/>
        </w:rPr>
        <w:lastRenderedPageBreak/>
        <w:t xml:space="preserve">VI. PASLAUGŲ GAVĖJŲ GYVENIMO KOKYBĖS GERINIMO REZULTATAI </w:t>
      </w:r>
    </w:p>
    <w:p w14:paraId="7F349ACC" w14:textId="77777777" w:rsidR="00292EAA" w:rsidRPr="00292EAA" w:rsidRDefault="00292EAA" w:rsidP="00292EAA">
      <w:pPr>
        <w:spacing w:after="0" w:line="240" w:lineRule="auto"/>
        <w:ind w:left="360"/>
        <w:jc w:val="center"/>
        <w:rPr>
          <w:rFonts w:asciiTheme="majorHAnsi" w:eastAsia="Calibri" w:hAnsiTheme="majorHAnsi" w:cstheme="majorHAnsi"/>
          <w:b/>
          <w:sz w:val="24"/>
          <w:szCs w:val="24"/>
        </w:rPr>
      </w:pPr>
      <w:r w:rsidRPr="00292EAA">
        <w:rPr>
          <w:rFonts w:asciiTheme="majorHAnsi" w:eastAsia="Calibri" w:hAnsiTheme="majorHAnsi" w:cstheme="majorHAnsi"/>
          <w:b/>
          <w:sz w:val="24"/>
          <w:szCs w:val="24"/>
        </w:rPr>
        <w:t>2024 M.</w:t>
      </w:r>
    </w:p>
    <w:p w14:paraId="20238D88" w14:textId="77777777" w:rsidR="00292EAA" w:rsidRPr="00292EAA" w:rsidRDefault="00292EAA" w:rsidP="00292EAA">
      <w:pPr>
        <w:spacing w:after="0" w:line="240" w:lineRule="auto"/>
        <w:ind w:left="360"/>
        <w:jc w:val="center"/>
        <w:rPr>
          <w:rFonts w:ascii="Times New Roman" w:eastAsia="Calibri" w:hAnsi="Times New Roman" w:cs="Times New Roman"/>
          <w:b/>
          <w:sz w:val="24"/>
          <w:szCs w:val="24"/>
        </w:rPr>
      </w:pPr>
    </w:p>
    <w:tbl>
      <w:tblPr>
        <w:tblStyle w:val="Lentelstinklelis2"/>
        <w:tblW w:w="0" w:type="auto"/>
        <w:tblLook w:val="04A0" w:firstRow="1" w:lastRow="0" w:firstColumn="1" w:lastColumn="0" w:noHBand="0" w:noVBand="1"/>
      </w:tblPr>
      <w:tblGrid>
        <w:gridCol w:w="1555"/>
        <w:gridCol w:w="7795"/>
      </w:tblGrid>
      <w:tr w:rsidR="00292EAA" w:rsidRPr="00292EAA" w14:paraId="7664ADE2" w14:textId="77777777" w:rsidTr="002C0ADB">
        <w:tc>
          <w:tcPr>
            <w:tcW w:w="1555" w:type="dxa"/>
          </w:tcPr>
          <w:p w14:paraId="0EF952FB" w14:textId="77777777" w:rsidR="00292EAA" w:rsidRPr="00292EAA" w:rsidRDefault="00292EAA" w:rsidP="00292EAA">
            <w:pPr>
              <w:jc w:val="both"/>
              <w:rPr>
                <w:rFonts w:asciiTheme="majorHAnsi" w:hAnsiTheme="majorHAnsi" w:cstheme="majorHAnsi"/>
                <w:b/>
                <w:sz w:val="20"/>
                <w:szCs w:val="20"/>
                <w:lang w:val="lt-LT"/>
              </w:rPr>
            </w:pPr>
            <w:r w:rsidRPr="00292EAA">
              <w:rPr>
                <w:rFonts w:asciiTheme="majorHAnsi" w:hAnsiTheme="majorHAnsi" w:cstheme="majorHAnsi"/>
                <w:b/>
                <w:sz w:val="20"/>
                <w:szCs w:val="20"/>
                <w:lang w:val="lt-LT"/>
              </w:rPr>
              <w:t>32 kriterijus</w:t>
            </w:r>
          </w:p>
        </w:tc>
        <w:tc>
          <w:tcPr>
            <w:tcW w:w="7795" w:type="dxa"/>
          </w:tcPr>
          <w:p w14:paraId="0DF11FFC" w14:textId="77777777" w:rsidR="00292EAA" w:rsidRPr="00292EAA" w:rsidRDefault="00292EAA" w:rsidP="00292EAA">
            <w:pPr>
              <w:jc w:val="both"/>
              <w:rPr>
                <w:rFonts w:asciiTheme="majorHAnsi" w:hAnsiTheme="majorHAnsi" w:cstheme="majorHAnsi"/>
                <w:sz w:val="20"/>
                <w:szCs w:val="20"/>
                <w:lang w:val="lt-LT"/>
              </w:rPr>
            </w:pPr>
            <w:r w:rsidRPr="00292EAA">
              <w:rPr>
                <w:rFonts w:asciiTheme="majorHAnsi" w:hAnsiTheme="majorHAnsi" w:cstheme="majorHAnsi"/>
                <w:sz w:val="20"/>
                <w:szCs w:val="20"/>
                <w:lang w:val="lt-LT"/>
              </w:rPr>
              <w:t>Socialinių paslaugų teikėjas turi aiškią paslaugų gavėjų gyvenimo kokybės koncepciją ir vykdo veiklą, grindžiamą paslaugų gavėjų poreikių vertinimu, siekiant pagerinti jų gyvenimo kokybę.</w:t>
            </w:r>
          </w:p>
        </w:tc>
      </w:tr>
      <w:tr w:rsidR="00292EAA" w:rsidRPr="00292EAA" w14:paraId="5C20CCDE" w14:textId="77777777" w:rsidTr="002C0ADB">
        <w:tc>
          <w:tcPr>
            <w:tcW w:w="1555" w:type="dxa"/>
          </w:tcPr>
          <w:p w14:paraId="0F6F9ECE" w14:textId="77777777" w:rsidR="00292EAA" w:rsidRPr="00292EAA" w:rsidRDefault="00292EAA" w:rsidP="00292EAA">
            <w:pPr>
              <w:jc w:val="both"/>
              <w:rPr>
                <w:rFonts w:asciiTheme="majorHAnsi" w:hAnsiTheme="majorHAnsi" w:cstheme="majorHAnsi"/>
                <w:b/>
                <w:sz w:val="20"/>
                <w:szCs w:val="20"/>
                <w:lang w:val="lt-LT"/>
              </w:rPr>
            </w:pPr>
            <w:r w:rsidRPr="00292EAA">
              <w:rPr>
                <w:rFonts w:asciiTheme="majorHAnsi" w:hAnsiTheme="majorHAnsi" w:cstheme="majorHAnsi"/>
                <w:b/>
                <w:sz w:val="20"/>
                <w:szCs w:val="20"/>
                <w:lang w:val="lt-LT"/>
              </w:rPr>
              <w:t>Rodiklis</w:t>
            </w:r>
          </w:p>
        </w:tc>
        <w:tc>
          <w:tcPr>
            <w:tcW w:w="7795" w:type="dxa"/>
          </w:tcPr>
          <w:p w14:paraId="482C074C" w14:textId="77777777" w:rsidR="00292EAA" w:rsidRPr="00292EAA" w:rsidRDefault="00292EAA" w:rsidP="00292EAA">
            <w:pPr>
              <w:jc w:val="both"/>
              <w:rPr>
                <w:rFonts w:asciiTheme="majorHAnsi" w:hAnsiTheme="majorHAnsi" w:cstheme="majorHAnsi"/>
                <w:b/>
                <w:sz w:val="20"/>
                <w:szCs w:val="20"/>
                <w:lang w:val="lt-LT"/>
              </w:rPr>
            </w:pPr>
            <w:r w:rsidRPr="00292EAA">
              <w:rPr>
                <w:rFonts w:asciiTheme="majorHAnsi" w:hAnsiTheme="majorHAnsi" w:cstheme="majorHAnsi"/>
                <w:b/>
                <w:sz w:val="20"/>
                <w:szCs w:val="20"/>
                <w:lang w:val="lt-LT" w:eastAsia="lt-LT"/>
              </w:rPr>
              <w:t>Paslaugų gavėjų asmenini</w:t>
            </w:r>
            <w:r w:rsidRPr="00292EAA">
              <w:rPr>
                <w:rFonts w:asciiTheme="majorHAnsi" w:hAnsiTheme="majorHAnsi" w:cstheme="majorHAnsi"/>
                <w:b/>
                <w:sz w:val="20"/>
                <w:szCs w:val="20"/>
                <w:lang w:eastAsia="lt-LT"/>
              </w:rPr>
              <w:t>o</w:t>
            </w:r>
            <w:r w:rsidRPr="00292EAA">
              <w:rPr>
                <w:rFonts w:asciiTheme="majorHAnsi" w:hAnsiTheme="majorHAnsi" w:cstheme="majorHAnsi"/>
                <w:b/>
                <w:sz w:val="20"/>
                <w:szCs w:val="20"/>
                <w:lang w:val="lt-LT" w:eastAsia="lt-LT"/>
              </w:rPr>
              <w:t xml:space="preserve"> pasitenkinim</w:t>
            </w:r>
            <w:r w:rsidRPr="00292EAA">
              <w:rPr>
                <w:rFonts w:asciiTheme="majorHAnsi" w:hAnsiTheme="majorHAnsi" w:cstheme="majorHAnsi"/>
                <w:b/>
                <w:sz w:val="20"/>
                <w:szCs w:val="20"/>
                <w:lang w:eastAsia="lt-LT"/>
              </w:rPr>
              <w:t>o</w:t>
            </w:r>
            <w:r w:rsidRPr="00292EAA">
              <w:rPr>
                <w:rFonts w:asciiTheme="majorHAnsi" w:hAnsiTheme="majorHAnsi" w:cstheme="majorHAnsi"/>
                <w:b/>
                <w:sz w:val="20"/>
                <w:szCs w:val="20"/>
                <w:lang w:val="lt-LT" w:eastAsia="lt-LT"/>
              </w:rPr>
              <w:t xml:space="preserve"> gyvenimo kokybės sritimis </w:t>
            </w:r>
            <w:r w:rsidRPr="00292EAA">
              <w:rPr>
                <w:rFonts w:asciiTheme="majorHAnsi" w:hAnsiTheme="majorHAnsi" w:cstheme="majorHAnsi"/>
                <w:b/>
                <w:sz w:val="20"/>
                <w:szCs w:val="20"/>
                <w:lang w:eastAsia="lt-LT"/>
              </w:rPr>
              <w:t>pokytis per 2024 metus.</w:t>
            </w:r>
          </w:p>
        </w:tc>
      </w:tr>
    </w:tbl>
    <w:p w14:paraId="71604DD1" w14:textId="77777777" w:rsidR="00292EAA" w:rsidRPr="00292EAA" w:rsidRDefault="00292EAA" w:rsidP="00292EAA">
      <w:pPr>
        <w:spacing w:before="100" w:beforeAutospacing="1" w:after="0" w:line="240" w:lineRule="auto"/>
        <w:ind w:firstLine="720"/>
        <w:jc w:val="both"/>
        <w:rPr>
          <w:rFonts w:ascii="Times New Roman" w:hAnsi="Times New Roman" w:cs="Times New Roman"/>
          <w:sz w:val="20"/>
          <w:szCs w:val="20"/>
        </w:rPr>
      </w:pPr>
      <w:r w:rsidRPr="00707FE7">
        <w:rPr>
          <w:rFonts w:asciiTheme="majorHAnsi" w:hAnsiTheme="majorHAnsi" w:cstheme="majorHAnsi"/>
          <w:noProof/>
          <w:sz w:val="20"/>
          <w:szCs w:val="20"/>
        </w:rPr>
        <w:drawing>
          <wp:inline distT="0" distB="0" distL="0" distR="0" wp14:anchorId="736B5496" wp14:editId="6D6425BC">
            <wp:extent cx="5478448" cy="2058311"/>
            <wp:effectExtent l="0" t="0" r="8255" b="18415"/>
            <wp:docPr id="7" name="Diagrama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6963DB8" w14:textId="77777777" w:rsidR="00292EAA" w:rsidRPr="00292EAA" w:rsidRDefault="00292EAA" w:rsidP="00292EAA">
      <w:pPr>
        <w:spacing w:before="100" w:beforeAutospacing="1" w:after="0" w:line="240" w:lineRule="auto"/>
        <w:ind w:firstLine="720"/>
        <w:jc w:val="both"/>
        <w:rPr>
          <w:rFonts w:asciiTheme="majorHAnsi" w:hAnsiTheme="majorHAnsi" w:cstheme="majorHAnsi"/>
          <w:sz w:val="20"/>
          <w:szCs w:val="20"/>
        </w:rPr>
      </w:pPr>
      <w:r w:rsidRPr="00292EAA">
        <w:rPr>
          <w:rFonts w:asciiTheme="majorHAnsi" w:hAnsiTheme="majorHAnsi" w:cstheme="majorHAnsi"/>
          <w:sz w:val="20"/>
          <w:szCs w:val="20"/>
        </w:rPr>
        <w:t xml:space="preserve">Per 2024 m. įgyvendintos tobulinimo priemonės: sutrumpinta ir PG suprantamesne kalba pateikta gyvenimo kokybės vertinimo anketa, sukurta vizualizacija apie </w:t>
      </w:r>
      <w:r w:rsidRPr="00292EAA">
        <w:rPr>
          <w:rFonts w:asciiTheme="majorHAnsi" w:eastAsia="SimSun" w:hAnsiTheme="majorHAnsi" w:cstheme="majorHAnsi"/>
          <w:sz w:val="20"/>
          <w:szCs w:val="20"/>
          <w:lang w:eastAsia="zh-CN" w:bidi="ar"/>
        </w:rPr>
        <w:t>Įstaigoje teikiamas paslaugas.</w:t>
      </w:r>
    </w:p>
    <w:p w14:paraId="1CCA79D0" w14:textId="77777777" w:rsidR="00292EAA" w:rsidRPr="00292EAA" w:rsidRDefault="00292EAA" w:rsidP="00292EAA">
      <w:pPr>
        <w:spacing w:after="0" w:line="240" w:lineRule="auto"/>
        <w:ind w:firstLine="720"/>
        <w:jc w:val="both"/>
        <w:rPr>
          <w:rFonts w:asciiTheme="majorHAnsi" w:hAnsiTheme="majorHAnsi" w:cstheme="majorHAnsi"/>
          <w:sz w:val="20"/>
          <w:szCs w:val="20"/>
        </w:rPr>
      </w:pPr>
      <w:r w:rsidRPr="00292EAA">
        <w:rPr>
          <w:rFonts w:asciiTheme="majorHAnsi" w:hAnsiTheme="majorHAnsi" w:cstheme="majorHAnsi"/>
          <w:sz w:val="20"/>
          <w:szCs w:val="20"/>
        </w:rPr>
        <w:t xml:space="preserve">2024 m. rugsėjo mėnesį atliktas PG pasitenkinimo gyvenimo kokybės sritimis vertinimas. Anketinėje apklausoje dalyvavo 92 PG, 2023 m. – 80. Vertinamos šios gyvenimo kokybės sritys: socialinis aktyvumas, fizinė ir emocinė gerovė, savarankiškumas. Gauti rezultatai rodo, kad per 2024 m. labiausiai išaugo PG savarankiškumas nuo 78% iki 81%. Tai rodo, kad pasiteisino PG savarankiškumo ugdymas per darbo/žaidimo vietos susitvarkymą. Kiti </w:t>
      </w:r>
      <w:bookmarkStart w:id="7" w:name="_Hlk178843340"/>
      <w:r w:rsidRPr="00292EAA">
        <w:rPr>
          <w:rFonts w:asciiTheme="majorHAnsi" w:hAnsiTheme="majorHAnsi" w:cstheme="majorHAnsi"/>
          <w:sz w:val="20"/>
          <w:szCs w:val="20"/>
        </w:rPr>
        <w:t xml:space="preserve">rodikliai sumažėjo, dėl galimai 2024 m. Įstaigą pradėjusių lankyti 12 naujų PG. </w:t>
      </w:r>
      <w:bookmarkEnd w:id="7"/>
      <w:r w:rsidRPr="00292EAA">
        <w:rPr>
          <w:rFonts w:asciiTheme="majorHAnsi" w:hAnsiTheme="majorHAnsi" w:cstheme="majorHAnsi"/>
          <w:sz w:val="20"/>
          <w:szCs w:val="20"/>
        </w:rPr>
        <w:t xml:space="preserve">Jų atsakymai  galėjo turėti įtakos pasitenkinimo socialiniu aktyvumu ir emocine bei fizine gerove  sumažėjimui (1% ir 3%).  </w:t>
      </w:r>
    </w:p>
    <w:p w14:paraId="1EAFDC5C" w14:textId="77777777" w:rsidR="00292EAA" w:rsidRPr="00292EAA" w:rsidRDefault="00292EAA" w:rsidP="00292EAA">
      <w:pPr>
        <w:spacing w:line="240" w:lineRule="auto"/>
        <w:ind w:firstLine="720"/>
        <w:jc w:val="both"/>
        <w:rPr>
          <w:rFonts w:asciiTheme="majorHAnsi" w:hAnsiTheme="majorHAnsi" w:cstheme="majorHAnsi"/>
          <w:sz w:val="20"/>
          <w:szCs w:val="20"/>
        </w:rPr>
      </w:pPr>
      <w:r w:rsidRPr="00292EAA">
        <w:rPr>
          <w:rFonts w:asciiTheme="majorHAnsi" w:hAnsiTheme="majorHAnsi" w:cstheme="majorHAnsi"/>
          <w:sz w:val="20"/>
          <w:szCs w:val="20"/>
        </w:rPr>
        <w:t>Gauti rezultatai leidžia daryti išvadą, kad per 2024 m. PG gavo kokybiškas socialinės globos paslaugas, jų pasitenkinimas gyvenimo kokybės sritimis išlieka aukštas.</w:t>
      </w:r>
    </w:p>
    <w:p w14:paraId="5BA566F3" w14:textId="77777777" w:rsidR="00292EAA" w:rsidRPr="00292EAA" w:rsidRDefault="00292EAA" w:rsidP="00292EAA">
      <w:pPr>
        <w:spacing w:line="240" w:lineRule="auto"/>
        <w:ind w:firstLine="720"/>
        <w:jc w:val="both"/>
        <w:rPr>
          <w:rFonts w:asciiTheme="majorHAnsi" w:hAnsiTheme="majorHAnsi" w:cstheme="majorHAnsi"/>
          <w:sz w:val="20"/>
          <w:szCs w:val="20"/>
        </w:rPr>
      </w:pPr>
      <w:r w:rsidRPr="00292EAA">
        <w:rPr>
          <w:rFonts w:asciiTheme="majorHAnsi" w:hAnsiTheme="majorHAnsi" w:cstheme="majorHAnsi"/>
          <w:sz w:val="20"/>
          <w:szCs w:val="20"/>
        </w:rPr>
        <w:t>Siekiant gerinti PG pasitenkinimą gyvenimo kokybės sritimis, tikslinga: per 2025 m. naudojat vizualizaciją, socialines istorijas įtvirtinti PG žinias apie Įstaigoje gaunamas paslaugas ir jų naudą. Didesnį dėmesį skirti naujai atvykusiems PG padedant jiems sėkmingai integruotis į bendruomenę. Iki 2025-09-31 parengti  gyvenimo kokybės vertinimo anketą pritaikytą naujai, Įstaigos direktoriaus patvirtintai ISGP formai. Iki 2025-10-31 atlikti PG pasitenkinimo gyvenimo kokybės sritimis vertinimą.</w:t>
      </w:r>
    </w:p>
    <w:p w14:paraId="6F7F2FAA" w14:textId="74C17820" w:rsidR="00292EAA" w:rsidRPr="00FC37B1" w:rsidRDefault="00292EAA" w:rsidP="00292EAA">
      <w:pPr>
        <w:spacing w:after="0" w:line="240" w:lineRule="auto"/>
        <w:ind w:firstLine="851"/>
        <w:jc w:val="both"/>
        <w:rPr>
          <w:rFonts w:asciiTheme="majorHAnsi" w:hAnsiTheme="majorHAnsi" w:cstheme="majorHAnsi"/>
          <w:sz w:val="20"/>
          <w:szCs w:val="20"/>
          <w:lang w:eastAsia="lt-LT"/>
        </w:rPr>
      </w:pPr>
    </w:p>
    <w:p w14:paraId="3D2A5CEF" w14:textId="1D3C19AA" w:rsidR="00292EAA" w:rsidRPr="00FC37B1" w:rsidRDefault="00292EAA" w:rsidP="00292EAA">
      <w:pPr>
        <w:spacing w:after="0" w:line="240" w:lineRule="auto"/>
        <w:ind w:firstLine="851"/>
        <w:jc w:val="both"/>
        <w:rPr>
          <w:rFonts w:asciiTheme="majorHAnsi" w:hAnsiTheme="majorHAnsi" w:cstheme="majorHAnsi"/>
          <w:sz w:val="20"/>
          <w:szCs w:val="20"/>
          <w:lang w:eastAsia="lt-LT"/>
        </w:rPr>
      </w:pPr>
    </w:p>
    <w:p w14:paraId="25B14442" w14:textId="1C9465FB" w:rsidR="00292EAA" w:rsidRPr="00FC37B1" w:rsidRDefault="00292EAA" w:rsidP="00292EAA">
      <w:pPr>
        <w:spacing w:after="0" w:line="240" w:lineRule="auto"/>
        <w:ind w:firstLine="851"/>
        <w:jc w:val="both"/>
        <w:rPr>
          <w:rFonts w:asciiTheme="majorHAnsi" w:hAnsiTheme="majorHAnsi" w:cstheme="majorHAnsi"/>
          <w:sz w:val="20"/>
          <w:szCs w:val="20"/>
          <w:lang w:eastAsia="lt-LT"/>
        </w:rPr>
      </w:pPr>
    </w:p>
    <w:p w14:paraId="04190509" w14:textId="4EE2DC3F" w:rsidR="00292EAA" w:rsidRDefault="00292EAA" w:rsidP="00292EAA">
      <w:pPr>
        <w:spacing w:after="0" w:line="240" w:lineRule="auto"/>
        <w:ind w:firstLine="851"/>
        <w:jc w:val="both"/>
        <w:rPr>
          <w:rFonts w:asciiTheme="majorHAnsi" w:hAnsiTheme="majorHAnsi" w:cstheme="majorHAnsi"/>
          <w:sz w:val="20"/>
          <w:szCs w:val="20"/>
          <w:lang w:eastAsia="lt-LT"/>
        </w:rPr>
      </w:pPr>
    </w:p>
    <w:p w14:paraId="70283CA4" w14:textId="52AB6506" w:rsidR="00292EAA" w:rsidRDefault="00292EAA" w:rsidP="00292EAA">
      <w:pPr>
        <w:spacing w:after="0" w:line="240" w:lineRule="auto"/>
        <w:ind w:firstLine="851"/>
        <w:jc w:val="both"/>
        <w:rPr>
          <w:rFonts w:asciiTheme="majorHAnsi" w:hAnsiTheme="majorHAnsi" w:cstheme="majorHAnsi"/>
          <w:sz w:val="20"/>
          <w:szCs w:val="20"/>
          <w:lang w:eastAsia="lt-LT"/>
        </w:rPr>
      </w:pPr>
    </w:p>
    <w:p w14:paraId="144F845A" w14:textId="49953D1F" w:rsidR="00292EAA" w:rsidRDefault="00292EAA" w:rsidP="00292EAA">
      <w:pPr>
        <w:spacing w:after="0" w:line="240" w:lineRule="auto"/>
        <w:ind w:firstLine="851"/>
        <w:jc w:val="both"/>
        <w:rPr>
          <w:rFonts w:asciiTheme="majorHAnsi" w:hAnsiTheme="majorHAnsi" w:cstheme="majorHAnsi"/>
          <w:sz w:val="20"/>
          <w:szCs w:val="20"/>
          <w:lang w:eastAsia="lt-LT"/>
        </w:rPr>
      </w:pPr>
    </w:p>
    <w:p w14:paraId="7D56B296" w14:textId="020E2D04" w:rsidR="00292EAA" w:rsidRDefault="00292EAA" w:rsidP="00292EAA">
      <w:pPr>
        <w:spacing w:after="0" w:line="240" w:lineRule="auto"/>
        <w:ind w:firstLine="851"/>
        <w:jc w:val="both"/>
        <w:rPr>
          <w:rFonts w:asciiTheme="majorHAnsi" w:hAnsiTheme="majorHAnsi" w:cstheme="majorHAnsi"/>
          <w:sz w:val="20"/>
          <w:szCs w:val="20"/>
          <w:lang w:eastAsia="lt-LT"/>
        </w:rPr>
      </w:pPr>
    </w:p>
    <w:p w14:paraId="74E1A421" w14:textId="0F62703E" w:rsidR="00292EAA" w:rsidRDefault="00292EAA" w:rsidP="00292EAA">
      <w:pPr>
        <w:spacing w:after="0" w:line="240" w:lineRule="auto"/>
        <w:ind w:firstLine="851"/>
        <w:jc w:val="both"/>
        <w:rPr>
          <w:rFonts w:asciiTheme="majorHAnsi" w:hAnsiTheme="majorHAnsi" w:cstheme="majorHAnsi"/>
          <w:sz w:val="20"/>
          <w:szCs w:val="20"/>
          <w:lang w:eastAsia="lt-LT"/>
        </w:rPr>
      </w:pPr>
    </w:p>
    <w:p w14:paraId="4E78B471" w14:textId="07AF3C8E" w:rsidR="00292EAA" w:rsidRDefault="00292EAA" w:rsidP="00292EAA">
      <w:pPr>
        <w:spacing w:after="0" w:line="240" w:lineRule="auto"/>
        <w:ind w:firstLine="851"/>
        <w:jc w:val="both"/>
        <w:rPr>
          <w:rFonts w:asciiTheme="majorHAnsi" w:hAnsiTheme="majorHAnsi" w:cstheme="majorHAnsi"/>
          <w:sz w:val="20"/>
          <w:szCs w:val="20"/>
          <w:lang w:eastAsia="lt-LT"/>
        </w:rPr>
      </w:pPr>
    </w:p>
    <w:p w14:paraId="68B2BD78" w14:textId="2C1B930A" w:rsidR="00292EAA" w:rsidRDefault="00292EAA" w:rsidP="00292EAA">
      <w:pPr>
        <w:spacing w:after="0" w:line="240" w:lineRule="auto"/>
        <w:ind w:firstLine="851"/>
        <w:jc w:val="both"/>
        <w:rPr>
          <w:rFonts w:asciiTheme="majorHAnsi" w:hAnsiTheme="majorHAnsi" w:cstheme="majorHAnsi"/>
          <w:sz w:val="20"/>
          <w:szCs w:val="20"/>
          <w:lang w:eastAsia="lt-LT"/>
        </w:rPr>
      </w:pPr>
    </w:p>
    <w:p w14:paraId="38E4B66F" w14:textId="393784F6" w:rsidR="00292EAA" w:rsidRDefault="00292EAA" w:rsidP="00292EAA">
      <w:pPr>
        <w:spacing w:after="0" w:line="240" w:lineRule="auto"/>
        <w:ind w:firstLine="851"/>
        <w:jc w:val="both"/>
        <w:rPr>
          <w:rFonts w:asciiTheme="majorHAnsi" w:hAnsiTheme="majorHAnsi" w:cstheme="majorHAnsi"/>
          <w:sz w:val="20"/>
          <w:szCs w:val="20"/>
          <w:lang w:eastAsia="lt-LT"/>
        </w:rPr>
      </w:pPr>
    </w:p>
    <w:p w14:paraId="21F49388" w14:textId="3ECC8ACB" w:rsidR="00292EAA" w:rsidRDefault="00292EAA" w:rsidP="00292EAA">
      <w:pPr>
        <w:spacing w:after="0" w:line="240" w:lineRule="auto"/>
        <w:ind w:firstLine="851"/>
        <w:jc w:val="both"/>
        <w:rPr>
          <w:rFonts w:asciiTheme="majorHAnsi" w:hAnsiTheme="majorHAnsi" w:cstheme="majorHAnsi"/>
          <w:sz w:val="20"/>
          <w:szCs w:val="20"/>
          <w:lang w:eastAsia="lt-LT"/>
        </w:rPr>
      </w:pPr>
    </w:p>
    <w:p w14:paraId="47F5650A" w14:textId="2C31FB90" w:rsidR="00292EAA" w:rsidRDefault="00292EAA" w:rsidP="00292EAA">
      <w:pPr>
        <w:spacing w:after="0" w:line="240" w:lineRule="auto"/>
        <w:ind w:firstLine="851"/>
        <w:jc w:val="both"/>
        <w:rPr>
          <w:rFonts w:asciiTheme="majorHAnsi" w:hAnsiTheme="majorHAnsi" w:cstheme="majorHAnsi"/>
          <w:sz w:val="20"/>
          <w:szCs w:val="20"/>
          <w:lang w:eastAsia="lt-LT"/>
        </w:rPr>
      </w:pPr>
    </w:p>
    <w:p w14:paraId="148C8F5E" w14:textId="6F64CAA2" w:rsidR="00292EAA" w:rsidRDefault="00292EAA" w:rsidP="00292EAA">
      <w:pPr>
        <w:spacing w:after="0" w:line="240" w:lineRule="auto"/>
        <w:ind w:firstLine="851"/>
        <w:jc w:val="both"/>
        <w:rPr>
          <w:rFonts w:asciiTheme="majorHAnsi" w:hAnsiTheme="majorHAnsi" w:cstheme="majorHAnsi"/>
          <w:sz w:val="20"/>
          <w:szCs w:val="20"/>
          <w:lang w:eastAsia="lt-LT"/>
        </w:rPr>
      </w:pPr>
    </w:p>
    <w:p w14:paraId="08BE9F9E" w14:textId="13FE2021" w:rsidR="00292EAA" w:rsidRDefault="00292EAA" w:rsidP="00292EAA">
      <w:pPr>
        <w:spacing w:after="0" w:line="240" w:lineRule="auto"/>
        <w:ind w:firstLine="851"/>
        <w:jc w:val="both"/>
        <w:rPr>
          <w:rFonts w:asciiTheme="majorHAnsi" w:hAnsiTheme="majorHAnsi" w:cstheme="majorHAnsi"/>
          <w:sz w:val="20"/>
          <w:szCs w:val="20"/>
          <w:lang w:eastAsia="lt-LT"/>
        </w:rPr>
      </w:pPr>
    </w:p>
    <w:p w14:paraId="4D73008A" w14:textId="77777777" w:rsidR="00FC37B1" w:rsidRDefault="00FC37B1" w:rsidP="00292EAA">
      <w:pPr>
        <w:spacing w:line="240" w:lineRule="auto"/>
        <w:jc w:val="center"/>
        <w:rPr>
          <w:rFonts w:asciiTheme="majorHAnsi" w:eastAsia="Calibri" w:hAnsiTheme="majorHAnsi" w:cstheme="majorHAnsi"/>
          <w:b/>
          <w:sz w:val="24"/>
          <w:szCs w:val="24"/>
          <w:lang w:eastAsia="lt-LT"/>
        </w:rPr>
      </w:pPr>
    </w:p>
    <w:p w14:paraId="2DC380F5" w14:textId="77777777" w:rsidR="00707FE7" w:rsidRDefault="00707FE7" w:rsidP="00292EAA">
      <w:pPr>
        <w:spacing w:line="240" w:lineRule="auto"/>
        <w:jc w:val="center"/>
        <w:rPr>
          <w:rFonts w:asciiTheme="majorHAnsi" w:eastAsia="Calibri" w:hAnsiTheme="majorHAnsi" w:cstheme="majorHAnsi"/>
          <w:b/>
          <w:sz w:val="24"/>
          <w:szCs w:val="24"/>
          <w:lang w:eastAsia="lt-LT"/>
        </w:rPr>
      </w:pPr>
    </w:p>
    <w:p w14:paraId="6E3671DB" w14:textId="707403D2" w:rsidR="00292EAA" w:rsidRPr="00C86E7D" w:rsidRDefault="00292EAA" w:rsidP="00292EAA">
      <w:pPr>
        <w:spacing w:line="240" w:lineRule="auto"/>
        <w:jc w:val="center"/>
        <w:rPr>
          <w:rFonts w:asciiTheme="majorHAnsi" w:eastAsia="Calibri" w:hAnsiTheme="majorHAnsi" w:cstheme="majorHAnsi"/>
          <w:b/>
          <w:sz w:val="24"/>
          <w:szCs w:val="24"/>
          <w:lang w:eastAsia="lt-LT"/>
        </w:rPr>
      </w:pPr>
      <w:r w:rsidRPr="00C86E7D">
        <w:rPr>
          <w:rFonts w:asciiTheme="majorHAnsi" w:eastAsia="Calibri" w:hAnsiTheme="majorHAnsi" w:cstheme="majorHAnsi"/>
          <w:b/>
          <w:sz w:val="24"/>
          <w:szCs w:val="24"/>
          <w:lang w:eastAsia="lt-LT"/>
        </w:rPr>
        <w:lastRenderedPageBreak/>
        <w:t>VII. PASLAUGŲ GAVĖJŲ ĮTRAUKIMO Į INDIVIDUALIŲ PLANŲ RENGIMĄ REZULTATAI 2024 M.</w:t>
      </w: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85"/>
        <w:gridCol w:w="7922"/>
      </w:tblGrid>
      <w:tr w:rsidR="00292EAA" w:rsidRPr="002224E0" w14:paraId="42A5235E" w14:textId="77777777" w:rsidTr="002C0ADB">
        <w:tc>
          <w:tcPr>
            <w:tcW w:w="2285" w:type="dxa"/>
            <w:vAlign w:val="center"/>
          </w:tcPr>
          <w:p w14:paraId="39BAC5BC" w14:textId="77777777" w:rsidR="00292EAA" w:rsidRPr="00C86E7D" w:rsidRDefault="00292EAA" w:rsidP="002C0ADB">
            <w:pPr>
              <w:spacing w:after="0" w:line="240" w:lineRule="auto"/>
              <w:jc w:val="both"/>
              <w:rPr>
                <w:rFonts w:asciiTheme="majorHAnsi" w:eastAsia="Calibri" w:hAnsiTheme="majorHAnsi" w:cstheme="majorHAnsi"/>
                <w:b/>
                <w:bCs/>
                <w:sz w:val="20"/>
                <w:szCs w:val="20"/>
              </w:rPr>
            </w:pPr>
            <w:r w:rsidRPr="00C86E7D">
              <w:rPr>
                <w:rFonts w:asciiTheme="majorHAnsi" w:eastAsia="Calibri" w:hAnsiTheme="majorHAnsi" w:cstheme="majorHAnsi"/>
                <w:b/>
                <w:bCs/>
                <w:sz w:val="20"/>
                <w:szCs w:val="20"/>
              </w:rPr>
              <w:t>35 kriterijus</w:t>
            </w:r>
          </w:p>
        </w:tc>
        <w:tc>
          <w:tcPr>
            <w:tcW w:w="7922" w:type="dxa"/>
          </w:tcPr>
          <w:p w14:paraId="4D409BC8" w14:textId="77777777" w:rsidR="00292EAA" w:rsidRPr="00C86E7D" w:rsidRDefault="00292EAA" w:rsidP="002C0ADB">
            <w:pPr>
              <w:spacing w:after="0" w:line="240" w:lineRule="auto"/>
              <w:contextualSpacing/>
              <w:jc w:val="both"/>
              <w:rPr>
                <w:rFonts w:asciiTheme="majorHAnsi" w:eastAsia="Calibri" w:hAnsiTheme="majorHAnsi" w:cstheme="majorHAnsi"/>
                <w:sz w:val="20"/>
                <w:szCs w:val="20"/>
              </w:rPr>
            </w:pPr>
            <w:r w:rsidRPr="00C86E7D">
              <w:rPr>
                <w:rFonts w:asciiTheme="majorHAnsi" w:eastAsia="Calibri" w:hAnsiTheme="majorHAnsi" w:cstheme="majorHAnsi"/>
                <w:sz w:val="20"/>
                <w:szCs w:val="20"/>
              </w:rPr>
              <w:t>Socialinių paslaugų teikėjas įtraukia paslaugų gavėjus į Individualaus plano rengimą ir peržiūrą, kad užtikrintų paslaugų gavėjo asmeninį indėlį į jos / jo Individualų planą.</w:t>
            </w:r>
          </w:p>
        </w:tc>
      </w:tr>
      <w:tr w:rsidR="00292EAA" w:rsidRPr="002224E0" w14:paraId="07B2F027" w14:textId="77777777" w:rsidTr="002C0ADB">
        <w:trPr>
          <w:trHeight w:val="545"/>
        </w:trPr>
        <w:tc>
          <w:tcPr>
            <w:tcW w:w="2285" w:type="dxa"/>
            <w:vAlign w:val="center"/>
          </w:tcPr>
          <w:p w14:paraId="544AB393" w14:textId="77777777" w:rsidR="00292EAA" w:rsidRPr="00C86E7D" w:rsidRDefault="00292EAA" w:rsidP="002C0ADB">
            <w:pPr>
              <w:spacing w:after="0" w:line="240" w:lineRule="auto"/>
              <w:jc w:val="both"/>
              <w:rPr>
                <w:rFonts w:asciiTheme="majorHAnsi" w:eastAsia="Calibri" w:hAnsiTheme="majorHAnsi" w:cstheme="majorHAnsi"/>
                <w:b/>
                <w:bCs/>
                <w:sz w:val="20"/>
                <w:szCs w:val="20"/>
              </w:rPr>
            </w:pPr>
            <w:r w:rsidRPr="00C86E7D">
              <w:rPr>
                <w:rFonts w:asciiTheme="majorHAnsi" w:eastAsia="Calibri" w:hAnsiTheme="majorHAnsi" w:cstheme="majorHAnsi"/>
                <w:b/>
                <w:bCs/>
                <w:sz w:val="20"/>
                <w:szCs w:val="20"/>
              </w:rPr>
              <w:t>Rodiklis</w:t>
            </w:r>
          </w:p>
        </w:tc>
        <w:tc>
          <w:tcPr>
            <w:tcW w:w="7922" w:type="dxa"/>
          </w:tcPr>
          <w:p w14:paraId="50D7F3DB" w14:textId="77777777" w:rsidR="00292EAA" w:rsidRPr="00C86E7D" w:rsidRDefault="00292EAA" w:rsidP="002C0ADB">
            <w:pPr>
              <w:spacing w:after="0" w:line="240" w:lineRule="auto"/>
              <w:jc w:val="both"/>
              <w:rPr>
                <w:rFonts w:asciiTheme="majorHAnsi" w:eastAsia="Calibri" w:hAnsiTheme="majorHAnsi" w:cstheme="majorHAnsi"/>
                <w:b/>
                <w:bCs/>
                <w:sz w:val="20"/>
                <w:szCs w:val="20"/>
              </w:rPr>
            </w:pPr>
            <w:r w:rsidRPr="00C86E7D">
              <w:rPr>
                <w:rFonts w:asciiTheme="majorHAnsi" w:eastAsia="Calibri" w:hAnsiTheme="majorHAnsi" w:cstheme="majorHAnsi"/>
                <w:b/>
                <w:bCs/>
                <w:sz w:val="20"/>
                <w:szCs w:val="20"/>
              </w:rPr>
              <w:t>Į  Individualaus socialinės globos plano rengimą įtrauktų paslaugų gavėjų skaičiaus pasiskirstymas pagal taikytus įtraukimo būdus 2023 ir 2024 m.</w:t>
            </w:r>
          </w:p>
        </w:tc>
      </w:tr>
    </w:tbl>
    <w:p w14:paraId="76B3C89A" w14:textId="77777777" w:rsidR="00292EAA" w:rsidRDefault="00292EAA" w:rsidP="00292EAA">
      <w:pPr>
        <w:spacing w:after="0" w:line="240" w:lineRule="auto"/>
        <w:ind w:hanging="426"/>
        <w:contextualSpacing/>
        <w:jc w:val="right"/>
        <w:rPr>
          <w:rFonts w:ascii="Times New Roman" w:eastAsia="Calibri" w:hAnsi="Times New Roman" w:cs="Times New Roman"/>
          <w:color w:val="808080"/>
          <w:sz w:val="24"/>
          <w:szCs w:val="24"/>
          <w:lang w:eastAsia="lt-LT"/>
        </w:rPr>
      </w:pPr>
    </w:p>
    <w:p w14:paraId="6A23C43D" w14:textId="77777777" w:rsidR="00292EAA" w:rsidRPr="002224E0" w:rsidRDefault="00292EAA" w:rsidP="00292EAA">
      <w:pPr>
        <w:spacing w:after="0" w:line="240" w:lineRule="auto"/>
        <w:ind w:hanging="426"/>
        <w:contextualSpacing/>
        <w:jc w:val="right"/>
        <w:rPr>
          <w:rFonts w:ascii="Times New Roman" w:eastAsia="Calibri" w:hAnsi="Times New Roman" w:cs="Times New Roman"/>
          <w:color w:val="808080"/>
          <w:sz w:val="24"/>
          <w:szCs w:val="24"/>
          <w:lang w:eastAsia="lt-LT"/>
        </w:rPr>
      </w:pPr>
      <w:r>
        <w:rPr>
          <w:noProof/>
        </w:rPr>
        <w:drawing>
          <wp:inline distT="0" distB="0" distL="0" distR="0" wp14:anchorId="1ABE5B82" wp14:editId="2EEF3E05">
            <wp:extent cx="6106353" cy="2412310"/>
            <wp:effectExtent l="0" t="0" r="8890" b="7620"/>
            <wp:docPr id="9" name="Diagrama 9">
              <a:extLst xmlns:a="http://schemas.openxmlformats.org/drawingml/2006/main">
                <a:ext uri="{FF2B5EF4-FFF2-40B4-BE49-F238E27FC236}">
                  <a16:creationId xmlns:a16="http://schemas.microsoft.com/office/drawing/2014/main" id="{856B7EC0-BCD5-4FCE-BCB1-BDA32127E9E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92C4195" w14:textId="77777777" w:rsidR="00292EAA" w:rsidRPr="002224E0" w:rsidRDefault="00292EAA" w:rsidP="00292EAA">
      <w:pPr>
        <w:spacing w:after="0" w:line="240" w:lineRule="auto"/>
        <w:contextualSpacing/>
        <w:jc w:val="center"/>
        <w:rPr>
          <w:rFonts w:ascii="Times New Roman" w:eastAsia="Calibri" w:hAnsi="Times New Roman" w:cs="Times New Roman"/>
          <w:color w:val="808080"/>
          <w:sz w:val="24"/>
          <w:szCs w:val="24"/>
          <w:lang w:eastAsia="lt-LT"/>
        </w:rPr>
      </w:pPr>
    </w:p>
    <w:p w14:paraId="31DCE0C6" w14:textId="77777777" w:rsidR="00292EAA" w:rsidRPr="00C86E7D" w:rsidRDefault="00292EAA" w:rsidP="00292EAA">
      <w:pPr>
        <w:spacing w:after="0" w:line="240" w:lineRule="auto"/>
        <w:ind w:firstLine="567"/>
        <w:contextualSpacing/>
        <w:jc w:val="both"/>
        <w:rPr>
          <w:rFonts w:asciiTheme="majorHAnsi" w:eastAsia="Calibri" w:hAnsiTheme="majorHAnsi" w:cstheme="majorHAnsi"/>
          <w:sz w:val="20"/>
          <w:szCs w:val="20"/>
          <w:lang w:eastAsia="lt-LT"/>
        </w:rPr>
      </w:pPr>
      <w:r w:rsidRPr="00C86E7D">
        <w:rPr>
          <w:rFonts w:asciiTheme="majorHAnsi" w:eastAsia="Calibri" w:hAnsiTheme="majorHAnsi" w:cstheme="majorHAnsi"/>
          <w:sz w:val="20"/>
          <w:szCs w:val="20"/>
          <w:lang w:eastAsia="lt-LT"/>
        </w:rPr>
        <w:t>PG įsitraukimas užtikrinant jų asmeninį indėlį į jos / jo Individualų socialinės globos planą (toliau – ISGP) buvo matuojamas 2024 m. spalio mėnesį. PG įtraukimo į ISGP rengimą būdai buvo vertinami apklausus 80 PG (2023 m. buvo apklausti 76 PG) bei 10 su PG dirbančių socialinių darbuotojų. Buvo vykdoma anketinė apklausa, apklausiant PG – naudojamos alternatyviosios komunikacijos priemonės.</w:t>
      </w:r>
    </w:p>
    <w:p w14:paraId="01A7D849" w14:textId="77777777" w:rsidR="00292EAA" w:rsidRPr="00C86E7D" w:rsidRDefault="00292EAA" w:rsidP="00292EAA">
      <w:pPr>
        <w:spacing w:after="0" w:line="240" w:lineRule="auto"/>
        <w:ind w:firstLine="567"/>
        <w:contextualSpacing/>
        <w:jc w:val="both"/>
        <w:rPr>
          <w:rFonts w:asciiTheme="majorHAnsi" w:eastAsia="Calibri" w:hAnsiTheme="majorHAnsi" w:cstheme="majorHAnsi"/>
          <w:sz w:val="20"/>
          <w:szCs w:val="20"/>
          <w:lang w:eastAsia="lt-LT"/>
        </w:rPr>
      </w:pPr>
      <w:r w:rsidRPr="00C86E7D">
        <w:rPr>
          <w:rFonts w:asciiTheme="majorHAnsi" w:eastAsia="Calibri" w:hAnsiTheme="majorHAnsi" w:cstheme="majorHAnsi"/>
          <w:sz w:val="20"/>
          <w:szCs w:val="20"/>
          <w:lang w:eastAsia="lt-LT"/>
        </w:rPr>
        <w:t>Atsižvelgiant į 2023 m. rekomendacijas, buvo palyginti 2023 m. ir 2024 m. PG įtraukimo į ISGP rengimą rezultatai. Pastebėta, kad 2024 m. liepos mėnesį atnaujinus Įstaigoje naudojamą ISGP formą ir ją papildžius lentele su PG įsitraukimo būdais, padidėjo tiek PG, kurie įvardino jog sudarant jų ISGP, gali verbaliai įvardinti savo poreikius (2023 m. 60, 2024 m. 65), tiek PG, kurie įvardino, jog sudarant jų ISGP, gali įvardinti savo poreikius taikant alternatyviosios bei augmentinės komunikacijos priemones (atitinkamai 2023 m. 41, 2024 m. 43 ir 2023 m. 25, 2024 m. 26).</w:t>
      </w:r>
    </w:p>
    <w:p w14:paraId="1F211F85" w14:textId="77777777" w:rsidR="00292EAA" w:rsidRPr="00C86E7D" w:rsidRDefault="00292EAA" w:rsidP="00292EAA">
      <w:pPr>
        <w:spacing w:after="0" w:line="240" w:lineRule="auto"/>
        <w:ind w:firstLine="567"/>
        <w:contextualSpacing/>
        <w:jc w:val="both"/>
        <w:rPr>
          <w:rFonts w:asciiTheme="majorHAnsi" w:eastAsia="Calibri" w:hAnsiTheme="majorHAnsi" w:cstheme="majorHAnsi"/>
          <w:sz w:val="20"/>
          <w:szCs w:val="20"/>
          <w:lang w:eastAsia="lt-LT"/>
        </w:rPr>
      </w:pPr>
      <w:r w:rsidRPr="00C86E7D">
        <w:rPr>
          <w:rFonts w:asciiTheme="majorHAnsi" w:eastAsia="Calibri" w:hAnsiTheme="majorHAnsi" w:cstheme="majorHAnsi"/>
          <w:sz w:val="20"/>
          <w:szCs w:val="20"/>
          <w:lang w:eastAsia="lt-LT"/>
        </w:rPr>
        <w:t xml:space="preserve">Taip pat, verta atkreipti dėmesį į tai, kad 2024 m. lyginant su 2023 m. šiek tiek sumažėjo PG, kurių ISGP sudaromas tik specialistų pagalba, stebint PG (2023 m. 61, 2024 m. 58). </w:t>
      </w:r>
    </w:p>
    <w:p w14:paraId="54C2F13B" w14:textId="77777777" w:rsidR="00292EAA" w:rsidRPr="00C86E7D" w:rsidRDefault="00292EAA" w:rsidP="00292EAA">
      <w:pPr>
        <w:spacing w:after="0" w:line="240" w:lineRule="auto"/>
        <w:ind w:firstLine="567"/>
        <w:contextualSpacing/>
        <w:jc w:val="both"/>
        <w:rPr>
          <w:rFonts w:asciiTheme="majorHAnsi" w:eastAsia="Calibri" w:hAnsiTheme="majorHAnsi" w:cstheme="majorHAnsi"/>
          <w:sz w:val="20"/>
          <w:szCs w:val="20"/>
          <w:lang w:eastAsia="lt-LT"/>
        </w:rPr>
      </w:pPr>
      <w:r w:rsidRPr="00C86E7D">
        <w:rPr>
          <w:rFonts w:asciiTheme="majorHAnsi" w:eastAsia="Calibri" w:hAnsiTheme="majorHAnsi" w:cstheme="majorHAnsi"/>
          <w:sz w:val="20"/>
          <w:szCs w:val="20"/>
          <w:lang w:eastAsia="lt-LT"/>
        </w:rPr>
        <w:t xml:space="preserve">Galima teigti, kad Įstaigoje gerėja PG įtraukimo į ISGP sudarymą įrankiai bei pasiteisino ISGP papildymas vizualizuota įsitraukimo būdų lentele. </w:t>
      </w:r>
    </w:p>
    <w:p w14:paraId="55AD4773" w14:textId="77777777" w:rsidR="00292EAA" w:rsidRPr="00C86E7D" w:rsidRDefault="00292EAA" w:rsidP="00292EAA">
      <w:pPr>
        <w:spacing w:after="0" w:line="240" w:lineRule="auto"/>
        <w:ind w:firstLine="567"/>
        <w:contextualSpacing/>
        <w:jc w:val="both"/>
        <w:rPr>
          <w:rFonts w:asciiTheme="majorHAnsi" w:eastAsia="Calibri" w:hAnsiTheme="majorHAnsi" w:cstheme="majorHAnsi"/>
          <w:sz w:val="20"/>
          <w:szCs w:val="20"/>
          <w:lang w:eastAsia="lt-LT"/>
        </w:rPr>
      </w:pPr>
      <w:r w:rsidRPr="00C86E7D">
        <w:rPr>
          <w:rFonts w:asciiTheme="majorHAnsi" w:eastAsia="Calibri" w:hAnsiTheme="majorHAnsi" w:cstheme="majorHAnsi"/>
          <w:sz w:val="20"/>
          <w:szCs w:val="20"/>
          <w:lang w:eastAsia="lt-LT"/>
        </w:rPr>
        <w:t xml:space="preserve">Siekiant užtikrinti tolimesnį PG įtraukimo į ISGP rengimą rezultatų matavimą, tikslinga iki 2025 m. birželio mėn. apsvarstyti galimybę toliau tobulinti ISGP vizualizaciją, integruojant skaitmeninius sprendimus arba naudojant interaktyvias formas, leidžiančias PG lengviau suprasti ir prisidėti prie ISGP sudarymo bei </w:t>
      </w:r>
      <w:r w:rsidRPr="00C86E7D">
        <w:rPr>
          <w:rFonts w:asciiTheme="majorHAnsi" w:eastAsia="Calibri" w:hAnsiTheme="majorHAnsi" w:cstheme="majorHAnsi"/>
          <w:sz w:val="20"/>
          <w:szCs w:val="20"/>
        </w:rPr>
        <w:t xml:space="preserve">iki 2025 m. spalio mėn. palyginti 2023 m. 2024 m. 2025 m. rezultatus. </w:t>
      </w:r>
    </w:p>
    <w:p w14:paraId="739AF538" w14:textId="77777777" w:rsidR="00292EAA" w:rsidRPr="00C86E7D" w:rsidRDefault="00292EAA" w:rsidP="00292EAA">
      <w:pPr>
        <w:spacing w:line="240" w:lineRule="auto"/>
        <w:jc w:val="both"/>
        <w:rPr>
          <w:rFonts w:asciiTheme="majorHAnsi" w:eastAsia="Calibri" w:hAnsiTheme="majorHAnsi" w:cstheme="majorHAnsi"/>
          <w:sz w:val="20"/>
          <w:szCs w:val="20"/>
        </w:rPr>
      </w:pPr>
    </w:p>
    <w:p w14:paraId="17236084" w14:textId="333C1EC1" w:rsidR="00292EAA" w:rsidRDefault="00292EAA" w:rsidP="00292EAA">
      <w:pPr>
        <w:spacing w:after="0" w:line="240" w:lineRule="auto"/>
        <w:ind w:firstLine="851"/>
        <w:jc w:val="both"/>
        <w:rPr>
          <w:rFonts w:asciiTheme="majorHAnsi" w:hAnsiTheme="majorHAnsi" w:cstheme="majorHAnsi"/>
          <w:sz w:val="20"/>
          <w:szCs w:val="20"/>
          <w:lang w:eastAsia="lt-LT"/>
        </w:rPr>
      </w:pPr>
    </w:p>
    <w:p w14:paraId="24749986" w14:textId="28326121" w:rsidR="00292EAA" w:rsidRDefault="00292EAA" w:rsidP="00292EAA">
      <w:pPr>
        <w:spacing w:after="0" w:line="240" w:lineRule="auto"/>
        <w:ind w:firstLine="851"/>
        <w:jc w:val="both"/>
        <w:rPr>
          <w:rFonts w:asciiTheme="majorHAnsi" w:hAnsiTheme="majorHAnsi" w:cstheme="majorHAnsi"/>
          <w:sz w:val="20"/>
          <w:szCs w:val="20"/>
          <w:lang w:eastAsia="lt-LT"/>
        </w:rPr>
      </w:pPr>
    </w:p>
    <w:p w14:paraId="2FC4F25A" w14:textId="3192257D" w:rsidR="00292EAA" w:rsidRDefault="00292EAA" w:rsidP="00292EAA">
      <w:pPr>
        <w:spacing w:after="0" w:line="240" w:lineRule="auto"/>
        <w:ind w:firstLine="851"/>
        <w:jc w:val="both"/>
        <w:rPr>
          <w:rFonts w:asciiTheme="majorHAnsi" w:hAnsiTheme="majorHAnsi" w:cstheme="majorHAnsi"/>
          <w:sz w:val="20"/>
          <w:szCs w:val="20"/>
          <w:lang w:eastAsia="lt-LT"/>
        </w:rPr>
      </w:pPr>
    </w:p>
    <w:p w14:paraId="4EB4E821" w14:textId="0D3A0AEA" w:rsidR="00292EAA" w:rsidRDefault="00292EAA" w:rsidP="00292EAA">
      <w:pPr>
        <w:spacing w:after="0" w:line="240" w:lineRule="auto"/>
        <w:ind w:firstLine="851"/>
        <w:jc w:val="both"/>
        <w:rPr>
          <w:rFonts w:asciiTheme="majorHAnsi" w:hAnsiTheme="majorHAnsi" w:cstheme="majorHAnsi"/>
          <w:sz w:val="20"/>
          <w:szCs w:val="20"/>
          <w:lang w:eastAsia="lt-LT"/>
        </w:rPr>
      </w:pPr>
    </w:p>
    <w:p w14:paraId="06C16D15" w14:textId="45826957" w:rsidR="00292EAA" w:rsidRDefault="00292EAA" w:rsidP="00292EAA">
      <w:pPr>
        <w:spacing w:after="0" w:line="240" w:lineRule="auto"/>
        <w:ind w:firstLine="851"/>
        <w:jc w:val="both"/>
        <w:rPr>
          <w:rFonts w:asciiTheme="majorHAnsi" w:hAnsiTheme="majorHAnsi" w:cstheme="majorHAnsi"/>
          <w:sz w:val="20"/>
          <w:szCs w:val="20"/>
          <w:lang w:eastAsia="lt-LT"/>
        </w:rPr>
      </w:pPr>
    </w:p>
    <w:p w14:paraId="370FF69D" w14:textId="7A74ADDD" w:rsidR="00292EAA" w:rsidRDefault="00292EAA" w:rsidP="00292EAA">
      <w:pPr>
        <w:spacing w:after="0" w:line="240" w:lineRule="auto"/>
        <w:ind w:firstLine="851"/>
        <w:jc w:val="both"/>
        <w:rPr>
          <w:rFonts w:asciiTheme="majorHAnsi" w:hAnsiTheme="majorHAnsi" w:cstheme="majorHAnsi"/>
          <w:sz w:val="20"/>
          <w:szCs w:val="20"/>
          <w:lang w:eastAsia="lt-LT"/>
        </w:rPr>
      </w:pPr>
    </w:p>
    <w:p w14:paraId="693EE667" w14:textId="2D19E5A5" w:rsidR="00292EAA" w:rsidRDefault="00292EAA" w:rsidP="00292EAA">
      <w:pPr>
        <w:spacing w:after="0" w:line="240" w:lineRule="auto"/>
        <w:ind w:firstLine="851"/>
        <w:jc w:val="both"/>
        <w:rPr>
          <w:rFonts w:asciiTheme="majorHAnsi" w:hAnsiTheme="majorHAnsi" w:cstheme="majorHAnsi"/>
          <w:sz w:val="20"/>
          <w:szCs w:val="20"/>
          <w:lang w:eastAsia="lt-LT"/>
        </w:rPr>
      </w:pPr>
    </w:p>
    <w:p w14:paraId="558BB7D1" w14:textId="6C17B4B3" w:rsidR="00292EAA" w:rsidRDefault="00292EAA" w:rsidP="00292EAA">
      <w:pPr>
        <w:spacing w:after="0" w:line="240" w:lineRule="auto"/>
        <w:ind w:firstLine="851"/>
        <w:jc w:val="both"/>
        <w:rPr>
          <w:rFonts w:asciiTheme="majorHAnsi" w:hAnsiTheme="majorHAnsi" w:cstheme="majorHAnsi"/>
          <w:sz w:val="20"/>
          <w:szCs w:val="20"/>
          <w:lang w:eastAsia="lt-LT"/>
        </w:rPr>
      </w:pPr>
    </w:p>
    <w:p w14:paraId="647C26D2" w14:textId="09EA206E" w:rsidR="00292EAA" w:rsidRDefault="00292EAA" w:rsidP="00292EAA">
      <w:pPr>
        <w:spacing w:after="0" w:line="240" w:lineRule="auto"/>
        <w:ind w:firstLine="851"/>
        <w:jc w:val="both"/>
        <w:rPr>
          <w:rFonts w:asciiTheme="majorHAnsi" w:hAnsiTheme="majorHAnsi" w:cstheme="majorHAnsi"/>
          <w:sz w:val="20"/>
          <w:szCs w:val="20"/>
          <w:lang w:eastAsia="lt-LT"/>
        </w:rPr>
      </w:pPr>
    </w:p>
    <w:p w14:paraId="75EAE324" w14:textId="4F18CB59" w:rsidR="00292EAA" w:rsidRDefault="00292EAA" w:rsidP="00292EAA">
      <w:pPr>
        <w:spacing w:after="0" w:line="240" w:lineRule="auto"/>
        <w:ind w:firstLine="851"/>
        <w:jc w:val="both"/>
        <w:rPr>
          <w:rFonts w:asciiTheme="majorHAnsi" w:hAnsiTheme="majorHAnsi" w:cstheme="majorHAnsi"/>
          <w:sz w:val="20"/>
          <w:szCs w:val="20"/>
          <w:lang w:eastAsia="lt-LT"/>
        </w:rPr>
      </w:pPr>
    </w:p>
    <w:p w14:paraId="053DE522" w14:textId="328C0DFD" w:rsidR="00292EAA" w:rsidRDefault="00292EAA" w:rsidP="00292EAA">
      <w:pPr>
        <w:spacing w:after="0" w:line="240" w:lineRule="auto"/>
        <w:ind w:firstLine="851"/>
        <w:jc w:val="both"/>
        <w:rPr>
          <w:rFonts w:asciiTheme="majorHAnsi" w:hAnsiTheme="majorHAnsi" w:cstheme="majorHAnsi"/>
          <w:sz w:val="20"/>
          <w:szCs w:val="20"/>
          <w:lang w:eastAsia="lt-LT"/>
        </w:rPr>
      </w:pPr>
    </w:p>
    <w:p w14:paraId="42016512" w14:textId="4A8F4C4A" w:rsidR="00292EAA" w:rsidRDefault="00292EAA" w:rsidP="00292EAA">
      <w:pPr>
        <w:spacing w:after="0" w:line="240" w:lineRule="auto"/>
        <w:ind w:firstLine="851"/>
        <w:jc w:val="both"/>
        <w:rPr>
          <w:rFonts w:asciiTheme="majorHAnsi" w:hAnsiTheme="majorHAnsi" w:cstheme="majorHAnsi"/>
          <w:sz w:val="20"/>
          <w:szCs w:val="20"/>
          <w:lang w:eastAsia="lt-LT"/>
        </w:rPr>
      </w:pPr>
    </w:p>
    <w:p w14:paraId="4747D7A5" w14:textId="2A28BAD8" w:rsidR="00292EAA" w:rsidRDefault="00292EAA" w:rsidP="00292EAA">
      <w:pPr>
        <w:spacing w:after="0" w:line="240" w:lineRule="auto"/>
        <w:ind w:firstLine="851"/>
        <w:jc w:val="both"/>
        <w:rPr>
          <w:rFonts w:asciiTheme="majorHAnsi" w:hAnsiTheme="majorHAnsi" w:cstheme="majorHAnsi"/>
          <w:sz w:val="20"/>
          <w:szCs w:val="20"/>
          <w:lang w:eastAsia="lt-LT"/>
        </w:rPr>
      </w:pPr>
    </w:p>
    <w:p w14:paraId="7794CB81" w14:textId="2250084E" w:rsidR="00292EAA" w:rsidRDefault="00292EAA" w:rsidP="00292EAA">
      <w:pPr>
        <w:spacing w:after="0" w:line="240" w:lineRule="auto"/>
        <w:ind w:firstLine="851"/>
        <w:jc w:val="both"/>
        <w:rPr>
          <w:rFonts w:asciiTheme="majorHAnsi" w:hAnsiTheme="majorHAnsi" w:cstheme="majorHAnsi"/>
          <w:sz w:val="20"/>
          <w:szCs w:val="20"/>
          <w:lang w:eastAsia="lt-LT"/>
        </w:rPr>
      </w:pPr>
    </w:p>
    <w:p w14:paraId="34F14705" w14:textId="77777777" w:rsidR="00292EAA" w:rsidRPr="00B83131" w:rsidRDefault="00292EAA" w:rsidP="00292EAA">
      <w:pPr>
        <w:jc w:val="center"/>
        <w:rPr>
          <w:rFonts w:asciiTheme="majorHAnsi" w:eastAsia="Calibri" w:hAnsiTheme="majorHAnsi" w:cstheme="majorHAnsi"/>
          <w:b/>
          <w:sz w:val="24"/>
        </w:rPr>
      </w:pPr>
      <w:r w:rsidRPr="00B83131">
        <w:rPr>
          <w:rFonts w:asciiTheme="majorHAnsi" w:hAnsiTheme="majorHAnsi" w:cstheme="majorHAnsi"/>
          <w:b/>
          <w:iCs/>
          <w:noProof/>
          <w:sz w:val="24"/>
          <w:szCs w:val="24"/>
        </w:rPr>
        <w:lastRenderedPageBreak/>
        <w:drawing>
          <wp:anchor distT="0" distB="0" distL="114300" distR="114300" simplePos="0" relativeHeight="251671552" behindDoc="1" locked="0" layoutInCell="1" allowOverlap="1" wp14:anchorId="034E162D" wp14:editId="77F04517">
            <wp:simplePos x="0" y="0"/>
            <wp:positionH relativeFrom="margin">
              <wp:align>left</wp:align>
            </wp:positionH>
            <wp:positionV relativeFrom="paragraph">
              <wp:posOffset>1431925</wp:posOffset>
            </wp:positionV>
            <wp:extent cx="6098540" cy="1963420"/>
            <wp:effectExtent l="0" t="0" r="16510" b="17780"/>
            <wp:wrapTight wrapText="bothSides">
              <wp:wrapPolygon edited="0">
                <wp:start x="0" y="0"/>
                <wp:lineTo x="0" y="21586"/>
                <wp:lineTo x="21591" y="21586"/>
                <wp:lineTo x="21591" y="0"/>
                <wp:lineTo x="0" y="0"/>
              </wp:wrapPolygon>
            </wp:wrapTight>
            <wp:docPr id="10" name="Diagrama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r w:rsidRPr="00B83131">
        <w:rPr>
          <w:rFonts w:asciiTheme="majorHAnsi" w:eastAsia="Calibri" w:hAnsiTheme="majorHAnsi" w:cstheme="majorHAnsi"/>
          <w:b/>
          <w:sz w:val="24"/>
          <w:szCs w:val="24"/>
        </w:rPr>
        <w:t xml:space="preserve">VIII. </w:t>
      </w:r>
      <w:r w:rsidRPr="00B83131">
        <w:rPr>
          <w:rFonts w:asciiTheme="majorHAnsi" w:eastAsia="Calibri" w:hAnsiTheme="majorHAnsi" w:cstheme="majorHAnsi"/>
          <w:b/>
          <w:sz w:val="24"/>
        </w:rPr>
        <w:t>PASLAUGŲ TEIKIMO TĘSTINUMO REZULTATAS 2024 M.</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0"/>
        <w:gridCol w:w="7649"/>
      </w:tblGrid>
      <w:tr w:rsidR="00292EAA" w:rsidRPr="0036394F" w14:paraId="03D9229C" w14:textId="77777777" w:rsidTr="002C0ADB">
        <w:tc>
          <w:tcPr>
            <w:tcW w:w="1980" w:type="dxa"/>
            <w:tcBorders>
              <w:top w:val="single" w:sz="4" w:space="0" w:color="auto"/>
              <w:left w:val="single" w:sz="4" w:space="0" w:color="auto"/>
              <w:bottom w:val="single" w:sz="4" w:space="0" w:color="auto"/>
              <w:right w:val="single" w:sz="4" w:space="0" w:color="auto"/>
            </w:tcBorders>
            <w:vAlign w:val="center"/>
            <w:hideMark/>
          </w:tcPr>
          <w:p w14:paraId="273E6209" w14:textId="77777777" w:rsidR="00292EAA" w:rsidRPr="00B83131" w:rsidRDefault="00292EAA" w:rsidP="002C0ADB">
            <w:pPr>
              <w:spacing w:after="0" w:line="240" w:lineRule="auto"/>
              <w:jc w:val="both"/>
              <w:rPr>
                <w:rFonts w:asciiTheme="majorHAnsi" w:eastAsia="Calibri" w:hAnsiTheme="majorHAnsi" w:cstheme="majorHAnsi"/>
                <w:b/>
                <w:bCs/>
                <w:sz w:val="20"/>
                <w:szCs w:val="20"/>
              </w:rPr>
            </w:pPr>
            <w:r w:rsidRPr="00B83131">
              <w:rPr>
                <w:rFonts w:asciiTheme="majorHAnsi" w:eastAsia="Calibri" w:hAnsiTheme="majorHAnsi" w:cstheme="majorHAnsi"/>
                <w:b/>
                <w:bCs/>
                <w:sz w:val="20"/>
                <w:szCs w:val="20"/>
                <w:lang w:eastAsia="lt-LT"/>
              </w:rPr>
              <w:t>36 kriterijus</w:t>
            </w:r>
          </w:p>
        </w:tc>
        <w:tc>
          <w:tcPr>
            <w:tcW w:w="7649" w:type="dxa"/>
            <w:tcBorders>
              <w:top w:val="single" w:sz="4" w:space="0" w:color="auto"/>
              <w:left w:val="single" w:sz="4" w:space="0" w:color="auto"/>
              <w:bottom w:val="single" w:sz="4" w:space="0" w:color="auto"/>
              <w:right w:val="single" w:sz="4" w:space="0" w:color="auto"/>
            </w:tcBorders>
            <w:hideMark/>
          </w:tcPr>
          <w:p w14:paraId="1F43B73B" w14:textId="77777777" w:rsidR="00292EAA" w:rsidRPr="00B83131" w:rsidRDefault="00292EAA" w:rsidP="002C0ADB">
            <w:pPr>
              <w:spacing w:line="240" w:lineRule="auto"/>
              <w:jc w:val="both"/>
              <w:rPr>
                <w:rFonts w:asciiTheme="majorHAnsi" w:eastAsia="Calibri" w:hAnsiTheme="majorHAnsi" w:cstheme="majorHAnsi"/>
                <w:sz w:val="20"/>
                <w:szCs w:val="20"/>
                <w:lang w:eastAsia="lt-LT"/>
              </w:rPr>
            </w:pPr>
            <w:r w:rsidRPr="00B83131">
              <w:rPr>
                <w:rFonts w:asciiTheme="majorHAnsi" w:eastAsia="Calibri" w:hAnsiTheme="majorHAnsi" w:cstheme="majorHAnsi"/>
                <w:sz w:val="20"/>
                <w:szCs w:val="20"/>
                <w:lang w:eastAsia="lt-LT"/>
              </w:rPr>
              <w:t>Socialinių paslaugų teikėjas užtikrina, kad paslaugų gavėjui būtų prieinamas paslaugų tęstinumas nuo ankstyvosios intervencijos iki paramos ir palaikymo po paslaugos suteikimo priklausomai nuo bėgant laikui besikeičiančių reikalavimų.</w:t>
            </w:r>
          </w:p>
        </w:tc>
      </w:tr>
      <w:tr w:rsidR="00292EAA" w:rsidRPr="0036394F" w14:paraId="303F5ED0" w14:textId="77777777" w:rsidTr="002C0ADB">
        <w:tc>
          <w:tcPr>
            <w:tcW w:w="1980" w:type="dxa"/>
            <w:tcBorders>
              <w:top w:val="single" w:sz="4" w:space="0" w:color="auto"/>
              <w:left w:val="single" w:sz="4" w:space="0" w:color="auto"/>
              <w:bottom w:val="single" w:sz="4" w:space="0" w:color="auto"/>
              <w:right w:val="single" w:sz="4" w:space="0" w:color="auto"/>
            </w:tcBorders>
            <w:vAlign w:val="center"/>
            <w:hideMark/>
          </w:tcPr>
          <w:p w14:paraId="3C117BC9" w14:textId="77777777" w:rsidR="00292EAA" w:rsidRPr="00B83131" w:rsidRDefault="00292EAA" w:rsidP="002C0ADB">
            <w:pPr>
              <w:spacing w:after="0" w:line="240" w:lineRule="auto"/>
              <w:jc w:val="both"/>
              <w:rPr>
                <w:rFonts w:asciiTheme="majorHAnsi" w:eastAsia="Calibri" w:hAnsiTheme="majorHAnsi" w:cstheme="majorHAnsi"/>
                <w:b/>
                <w:bCs/>
                <w:sz w:val="20"/>
                <w:szCs w:val="20"/>
              </w:rPr>
            </w:pPr>
            <w:r w:rsidRPr="00B83131">
              <w:rPr>
                <w:rFonts w:asciiTheme="majorHAnsi" w:eastAsia="Calibri" w:hAnsiTheme="majorHAnsi" w:cstheme="majorHAnsi"/>
                <w:b/>
                <w:bCs/>
                <w:sz w:val="20"/>
                <w:szCs w:val="20"/>
              </w:rPr>
              <w:t>Rodiklis</w:t>
            </w:r>
          </w:p>
        </w:tc>
        <w:tc>
          <w:tcPr>
            <w:tcW w:w="7649" w:type="dxa"/>
            <w:tcBorders>
              <w:top w:val="single" w:sz="4" w:space="0" w:color="auto"/>
              <w:left w:val="single" w:sz="4" w:space="0" w:color="auto"/>
              <w:bottom w:val="single" w:sz="4" w:space="0" w:color="auto"/>
              <w:right w:val="single" w:sz="4" w:space="0" w:color="auto"/>
            </w:tcBorders>
            <w:hideMark/>
          </w:tcPr>
          <w:p w14:paraId="05C6A1F1" w14:textId="77777777" w:rsidR="00292EAA" w:rsidRPr="00B83131" w:rsidRDefault="00292EAA" w:rsidP="002C0ADB">
            <w:pPr>
              <w:spacing w:line="240" w:lineRule="auto"/>
              <w:jc w:val="both"/>
              <w:rPr>
                <w:rFonts w:asciiTheme="majorHAnsi" w:eastAsia="Calibri" w:hAnsiTheme="majorHAnsi" w:cstheme="majorHAnsi"/>
                <w:b/>
                <w:iCs/>
                <w:sz w:val="20"/>
                <w:szCs w:val="20"/>
                <w:highlight w:val="yellow"/>
              </w:rPr>
            </w:pPr>
            <w:r w:rsidRPr="00B83131">
              <w:rPr>
                <w:rFonts w:asciiTheme="majorHAnsi" w:hAnsiTheme="majorHAnsi" w:cstheme="majorHAnsi"/>
                <w:b/>
                <w:sz w:val="20"/>
                <w:szCs w:val="20"/>
              </w:rPr>
              <w:t xml:space="preserve">Paslaugų gavėjų, kurie buvo nukreipti į kitas įstaigas siekiant paslaugų tęstinumo ar su kuriais palaikomas ryšys užbaigus paslaugų teikimo procesą, skaičius </w:t>
            </w:r>
            <w:r w:rsidRPr="00B83131">
              <w:rPr>
                <w:rFonts w:asciiTheme="majorHAnsi" w:hAnsiTheme="majorHAnsi" w:cstheme="majorHAnsi"/>
                <w:b/>
                <w:sz w:val="20"/>
                <w:szCs w:val="20"/>
                <w:lang w:val="en-US"/>
              </w:rPr>
              <w:t>2023 m. ir 2024 m.</w:t>
            </w:r>
          </w:p>
        </w:tc>
      </w:tr>
    </w:tbl>
    <w:p w14:paraId="0A251740" w14:textId="77777777" w:rsidR="00292EAA" w:rsidRPr="00B83131" w:rsidRDefault="00292EAA" w:rsidP="00292EAA">
      <w:pPr>
        <w:pStyle w:val="Betarp"/>
        <w:jc w:val="both"/>
        <w:rPr>
          <w:rFonts w:asciiTheme="majorHAnsi" w:hAnsiTheme="majorHAnsi" w:cstheme="majorHAnsi"/>
          <w:sz w:val="20"/>
          <w:szCs w:val="20"/>
        </w:rPr>
      </w:pPr>
      <w:r w:rsidRPr="0036394F">
        <w:t xml:space="preserve">        </w:t>
      </w:r>
      <w:r w:rsidRPr="00B83131">
        <w:rPr>
          <w:rFonts w:asciiTheme="majorHAnsi" w:hAnsiTheme="majorHAnsi" w:cstheme="majorHAnsi"/>
          <w:sz w:val="20"/>
          <w:szCs w:val="20"/>
        </w:rPr>
        <w:t>Rezultatai buvo skaičiuojami 2024 m. spalio mėn. Buvo sudaryta paslaugų teikimo diagrama, kurioje pavaizduoti paslaugų teikimo tęstinumo komponentai per daugiaorganizacinę aplinką, kurioje atsispindi ne tik bendradarbiavimo aspektai, tačiau ir PG integracija per vykdytus PG nukreipimus į kitas įstaigas bei ryšio palaikymą su mūsų Įstaigą lankyti nustojusiais asmenimis. Duomenys buvo gauti tikrinant apibendrintą informaciją failų serveryje (</w:t>
      </w:r>
      <w:r w:rsidRPr="00B83131">
        <w:rPr>
          <w:rFonts w:asciiTheme="majorHAnsi" w:hAnsiTheme="majorHAnsi" w:cstheme="majorHAnsi"/>
          <w:i/>
          <w:sz w:val="20"/>
          <w:szCs w:val="20"/>
        </w:rPr>
        <w:t>Vidiniai procesai</w:t>
      </w:r>
      <w:r w:rsidRPr="00B83131">
        <w:rPr>
          <w:rFonts w:asciiTheme="majorHAnsi" w:hAnsiTheme="majorHAnsi" w:cstheme="majorHAnsi"/>
          <w:sz w:val="20"/>
          <w:szCs w:val="20"/>
        </w:rPr>
        <w:t>), dėl nukreipimų į Asmens su negalia teisių apsaugos agentūrą (toliau – ANTA), Vilniaus pedagoginę psichologinę tarnybą (toliau – PPT) bei patobulintose socialinių darbuotojų Ketvirčio veiklos ataskaitose.</w:t>
      </w:r>
    </w:p>
    <w:p w14:paraId="4BF9A2E1" w14:textId="77777777" w:rsidR="00292EAA" w:rsidRPr="00B83131" w:rsidRDefault="00292EAA" w:rsidP="00292EAA">
      <w:pPr>
        <w:pStyle w:val="Betarp"/>
        <w:jc w:val="both"/>
        <w:rPr>
          <w:rFonts w:asciiTheme="majorHAnsi" w:hAnsiTheme="majorHAnsi" w:cstheme="majorHAnsi"/>
          <w:sz w:val="20"/>
          <w:szCs w:val="20"/>
        </w:rPr>
      </w:pPr>
      <w:r w:rsidRPr="00B83131">
        <w:rPr>
          <w:rFonts w:asciiTheme="majorHAnsi" w:hAnsiTheme="majorHAnsi" w:cstheme="majorHAnsi"/>
          <w:sz w:val="20"/>
          <w:szCs w:val="20"/>
        </w:rPr>
        <w:t>Teikiant dienos socialinės globos paslaugas vaikams su negalia ir siekiant sušvelninti PG pereinamąjį laikotarpį mokykloje, mūsų Įstaigos vyr. socialiniai darbuotojai tarpininkauja nukreipiant PG tėvus į PPT, kad kuo anksčiau būtų nustatyti ir įvertinti PG specialieji ugdymosi poreikiai, nustatyti/identifikuoti psichologiniai, asmenybės ir mokymosi sunkumai.</w:t>
      </w:r>
    </w:p>
    <w:p w14:paraId="42EA6728" w14:textId="77777777" w:rsidR="00292EAA" w:rsidRPr="00B83131" w:rsidRDefault="00292EAA" w:rsidP="00292EAA">
      <w:pPr>
        <w:pStyle w:val="Betarp"/>
        <w:jc w:val="both"/>
        <w:rPr>
          <w:rFonts w:asciiTheme="majorHAnsi" w:hAnsiTheme="majorHAnsi" w:cstheme="majorHAnsi"/>
          <w:sz w:val="20"/>
          <w:szCs w:val="20"/>
        </w:rPr>
      </w:pPr>
      <w:r w:rsidRPr="00B83131">
        <w:rPr>
          <w:rFonts w:asciiTheme="majorHAnsi" w:hAnsiTheme="majorHAnsi" w:cstheme="majorHAnsi"/>
          <w:sz w:val="20"/>
          <w:szCs w:val="20"/>
        </w:rPr>
        <w:t xml:space="preserve">        Vienas iš sąžiningumo ir atsakingumo principų, teikiant dienos socialinės globos paslaugas – tikslingai apskaičiuotas mokestis už suteiktas socialines paslaugas.  Mokesčio apskaičiavimui didelę reikšmę turi ANTA pateikti duomenys/duomenų bazės išrašai, remiantis kuriais atliekamas PG finansinių galimybių mokėti už socialines paslaugas vertinimas. Todėl Įstaigos socialiniai darbuotojai, nuolat stebi ANTA pasikeitimus, bendradarbiauja su PG teisėtais atstovais ir nukreipia juos į ANTA. Išanalizavus duomenis, paaiškėjo, kad kaip ir 2023 m. 2024 m. mūsų Įstaiga nukreipė 8 PG į PPT, 6 PG į ANTA (2023 m. 11 asmenų). </w:t>
      </w:r>
    </w:p>
    <w:p w14:paraId="35844612" w14:textId="77777777" w:rsidR="00292EAA" w:rsidRPr="00B83131" w:rsidRDefault="00292EAA" w:rsidP="00292EAA">
      <w:pPr>
        <w:pStyle w:val="Betarp"/>
        <w:jc w:val="both"/>
        <w:rPr>
          <w:rFonts w:asciiTheme="majorHAnsi" w:hAnsiTheme="majorHAnsi" w:cstheme="majorHAnsi"/>
          <w:sz w:val="20"/>
          <w:szCs w:val="20"/>
        </w:rPr>
      </w:pPr>
      <w:r w:rsidRPr="00B83131">
        <w:rPr>
          <w:rFonts w:asciiTheme="majorHAnsi" w:hAnsiTheme="majorHAnsi" w:cstheme="majorHAnsi"/>
          <w:sz w:val="20"/>
          <w:szCs w:val="20"/>
        </w:rPr>
        <w:t xml:space="preserve">         Kaip ir 2023 m. toliau palaikomas ryšys su vienu buvusiu PG, kuris šiuo metu gauna paslaugas kitoje Vilniaus miesto biudžetinėje įstaigoje. Taigi, paslaugų tęstinumas įstaigoje išlaikomas ir užtikrinamas. Nuo 2024 m. birželio Įstaiga įsteigė naują padalinį, kuriame trumpalaikės socialinės globos ir laikino atokvėpio paslaugos teikiamos asmenims su negalia iki 29 metų. Taip buvo užtikrintas paslaugų teikimo tęstinumas trims PG.</w:t>
      </w:r>
    </w:p>
    <w:p w14:paraId="2E80E087" w14:textId="77777777" w:rsidR="00292EAA" w:rsidRPr="00B83131" w:rsidRDefault="00292EAA" w:rsidP="00292EAA">
      <w:pPr>
        <w:pStyle w:val="Betarp"/>
        <w:jc w:val="both"/>
        <w:rPr>
          <w:rFonts w:asciiTheme="majorHAnsi" w:hAnsiTheme="majorHAnsi" w:cstheme="majorHAnsi"/>
          <w:sz w:val="20"/>
          <w:szCs w:val="20"/>
        </w:rPr>
      </w:pPr>
      <w:r w:rsidRPr="00B83131">
        <w:rPr>
          <w:rFonts w:asciiTheme="majorHAnsi" w:hAnsiTheme="majorHAnsi" w:cstheme="majorHAnsi"/>
          <w:sz w:val="20"/>
          <w:szCs w:val="20"/>
        </w:rPr>
        <w:t xml:space="preserve">         Siekiant palaikyti bei gerinti Įstaigos paslaugų tęstinumą, tikslinga įgyvendinti šias tobulinimo priemones:</w:t>
      </w:r>
    </w:p>
    <w:p w14:paraId="21327988" w14:textId="77777777" w:rsidR="00292EAA" w:rsidRPr="00B83131" w:rsidRDefault="00292EAA" w:rsidP="00292EAA">
      <w:pPr>
        <w:pStyle w:val="Betarp"/>
        <w:numPr>
          <w:ilvl w:val="0"/>
          <w:numId w:val="4"/>
        </w:numPr>
        <w:jc w:val="both"/>
        <w:rPr>
          <w:rFonts w:asciiTheme="majorHAnsi" w:hAnsiTheme="majorHAnsi" w:cstheme="majorHAnsi"/>
          <w:sz w:val="20"/>
          <w:szCs w:val="20"/>
        </w:rPr>
      </w:pPr>
      <w:r w:rsidRPr="00B83131">
        <w:rPr>
          <w:rFonts w:asciiTheme="majorHAnsi" w:hAnsiTheme="majorHAnsi" w:cstheme="majorHAnsi"/>
          <w:sz w:val="20"/>
          <w:szCs w:val="20"/>
        </w:rPr>
        <w:t>Iki 2025 m. birželio sukurti ilgalaikį ryšių palaikymo su buvusiais PG algoritmą. Tai padėtų geriau</w:t>
      </w:r>
    </w:p>
    <w:p w14:paraId="286D0BC2" w14:textId="77777777" w:rsidR="00292EAA" w:rsidRPr="00B83131" w:rsidRDefault="00292EAA" w:rsidP="00292EAA">
      <w:pPr>
        <w:pStyle w:val="Betarp"/>
        <w:ind w:left="360"/>
        <w:jc w:val="both"/>
        <w:rPr>
          <w:rFonts w:asciiTheme="majorHAnsi" w:hAnsiTheme="majorHAnsi" w:cstheme="majorHAnsi"/>
          <w:sz w:val="20"/>
          <w:szCs w:val="20"/>
        </w:rPr>
      </w:pPr>
      <w:r w:rsidRPr="00B83131">
        <w:rPr>
          <w:rFonts w:asciiTheme="majorHAnsi" w:hAnsiTheme="majorHAnsi" w:cstheme="majorHAnsi"/>
          <w:sz w:val="20"/>
          <w:szCs w:val="20"/>
        </w:rPr>
        <w:t>suprasti, ar po paslaugų gavimo jų poreikiai buvo patenkinti, ir ar reikalingos papildomos intervencijos.</w:t>
      </w:r>
    </w:p>
    <w:p w14:paraId="7A68D189" w14:textId="77777777" w:rsidR="00292EAA" w:rsidRPr="00B83131" w:rsidRDefault="00292EAA" w:rsidP="00292EAA">
      <w:pPr>
        <w:pStyle w:val="Betarp"/>
        <w:numPr>
          <w:ilvl w:val="0"/>
          <w:numId w:val="4"/>
        </w:numPr>
        <w:jc w:val="both"/>
        <w:rPr>
          <w:rFonts w:asciiTheme="majorHAnsi" w:hAnsiTheme="majorHAnsi" w:cstheme="majorHAnsi"/>
          <w:sz w:val="20"/>
          <w:szCs w:val="20"/>
        </w:rPr>
      </w:pPr>
      <w:r w:rsidRPr="00B83131">
        <w:rPr>
          <w:rFonts w:asciiTheme="majorHAnsi" w:hAnsiTheme="majorHAnsi" w:cstheme="majorHAnsi"/>
          <w:sz w:val="20"/>
          <w:szCs w:val="20"/>
        </w:rPr>
        <w:t>Iki 2025 m. rugsėjo svarstyti naujų, lanksčių paslaugų teikimo formų įvedimą, tokių kaip nuotolinės</w:t>
      </w:r>
    </w:p>
    <w:p w14:paraId="223B8096" w14:textId="77777777" w:rsidR="00292EAA" w:rsidRPr="00B83131" w:rsidRDefault="00292EAA" w:rsidP="00292EAA">
      <w:pPr>
        <w:pStyle w:val="Betarp"/>
        <w:ind w:left="360"/>
        <w:jc w:val="both"/>
        <w:rPr>
          <w:rFonts w:asciiTheme="majorHAnsi" w:hAnsiTheme="majorHAnsi" w:cstheme="majorHAnsi"/>
          <w:sz w:val="20"/>
          <w:szCs w:val="20"/>
        </w:rPr>
      </w:pPr>
      <w:r w:rsidRPr="00B83131">
        <w:rPr>
          <w:rFonts w:asciiTheme="majorHAnsi" w:hAnsiTheme="majorHAnsi" w:cstheme="majorHAnsi"/>
          <w:sz w:val="20"/>
          <w:szCs w:val="20"/>
        </w:rPr>
        <w:t>socialinės paslaugos ar individualios konsultacijos. Tai būtų ypač naudinga tiems, kurie turi sunkumų fiziškai atvykti į Įstaigą.</w:t>
      </w:r>
    </w:p>
    <w:p w14:paraId="5FC0D23B" w14:textId="77777777" w:rsidR="00292EAA" w:rsidRPr="00B83131" w:rsidRDefault="00292EAA" w:rsidP="00292EAA">
      <w:pPr>
        <w:pStyle w:val="Sraopastraipa"/>
        <w:numPr>
          <w:ilvl w:val="0"/>
          <w:numId w:val="4"/>
        </w:numPr>
        <w:spacing w:line="240" w:lineRule="auto"/>
        <w:jc w:val="both"/>
        <w:rPr>
          <w:rFonts w:asciiTheme="majorHAnsi" w:hAnsiTheme="majorHAnsi" w:cstheme="majorHAnsi"/>
          <w:sz w:val="20"/>
          <w:szCs w:val="20"/>
        </w:rPr>
      </w:pPr>
      <w:r w:rsidRPr="00B83131">
        <w:rPr>
          <w:rFonts w:asciiTheme="majorHAnsi" w:hAnsiTheme="majorHAnsi" w:cstheme="majorHAnsi"/>
          <w:sz w:val="20"/>
          <w:szCs w:val="20"/>
        </w:rPr>
        <w:t xml:space="preserve">Iki 2025 m. liepos organizuoti ir pravesti fokusuotą grupinę diskusiją, kurios metu išdiskutuoti PG krizinių situacijų įveikimo grupės poreikį, kuri užtikrins pagalbą ir intervencinių metodų/paslaugų tęstinumą tiems PG, kurie </w:t>
      </w:r>
      <w:r w:rsidRPr="00B83131">
        <w:rPr>
          <w:rFonts w:asciiTheme="majorHAnsi" w:hAnsiTheme="majorHAnsi" w:cstheme="majorHAnsi"/>
          <w:color w:val="000000" w:themeColor="text1"/>
          <w:sz w:val="20"/>
          <w:szCs w:val="20"/>
        </w:rPr>
        <w:t>dėl agresyvaus elgesio, gali fiziškai sužaloti save ir kuriems reikalinga intensyvesnė nei įprastai darbuotojo priežiūra.</w:t>
      </w:r>
    </w:p>
    <w:p w14:paraId="735B564D" w14:textId="08F7E5FD" w:rsidR="00292EAA" w:rsidRDefault="00292EAA" w:rsidP="00292EAA">
      <w:pPr>
        <w:spacing w:after="0" w:line="240" w:lineRule="auto"/>
        <w:ind w:firstLine="851"/>
        <w:jc w:val="both"/>
        <w:rPr>
          <w:rFonts w:asciiTheme="majorHAnsi" w:hAnsiTheme="majorHAnsi" w:cstheme="majorHAnsi"/>
          <w:sz w:val="20"/>
          <w:szCs w:val="20"/>
          <w:lang w:eastAsia="lt-LT"/>
        </w:rPr>
      </w:pPr>
    </w:p>
    <w:p w14:paraId="293ECED6" w14:textId="6991BCDC" w:rsidR="00292EAA" w:rsidRDefault="00292EAA" w:rsidP="00292EAA">
      <w:pPr>
        <w:spacing w:after="0" w:line="240" w:lineRule="auto"/>
        <w:ind w:firstLine="851"/>
        <w:jc w:val="both"/>
        <w:rPr>
          <w:rFonts w:asciiTheme="majorHAnsi" w:hAnsiTheme="majorHAnsi" w:cstheme="majorHAnsi"/>
          <w:sz w:val="20"/>
          <w:szCs w:val="20"/>
          <w:lang w:eastAsia="lt-LT"/>
        </w:rPr>
      </w:pPr>
    </w:p>
    <w:p w14:paraId="17072AF3" w14:textId="09077CC1" w:rsidR="00292EAA" w:rsidRDefault="00292EAA" w:rsidP="00292EAA">
      <w:pPr>
        <w:spacing w:after="0" w:line="240" w:lineRule="auto"/>
        <w:ind w:firstLine="851"/>
        <w:jc w:val="both"/>
        <w:rPr>
          <w:rFonts w:asciiTheme="majorHAnsi" w:hAnsiTheme="majorHAnsi" w:cstheme="majorHAnsi"/>
          <w:sz w:val="20"/>
          <w:szCs w:val="20"/>
          <w:lang w:eastAsia="lt-LT"/>
        </w:rPr>
      </w:pPr>
    </w:p>
    <w:p w14:paraId="7F49AEBC" w14:textId="48C14C18" w:rsidR="00292EAA" w:rsidRDefault="00292EAA" w:rsidP="00292EAA">
      <w:pPr>
        <w:spacing w:after="0" w:line="240" w:lineRule="auto"/>
        <w:ind w:firstLine="851"/>
        <w:jc w:val="both"/>
        <w:rPr>
          <w:rFonts w:asciiTheme="majorHAnsi" w:hAnsiTheme="majorHAnsi" w:cstheme="majorHAnsi"/>
          <w:sz w:val="20"/>
          <w:szCs w:val="20"/>
          <w:lang w:eastAsia="lt-LT"/>
        </w:rPr>
      </w:pPr>
    </w:p>
    <w:p w14:paraId="3A9120D7" w14:textId="6CA5B610" w:rsidR="00292EAA" w:rsidRDefault="00292EAA" w:rsidP="00292EAA">
      <w:pPr>
        <w:spacing w:after="0" w:line="240" w:lineRule="auto"/>
        <w:ind w:firstLine="851"/>
        <w:jc w:val="both"/>
        <w:rPr>
          <w:rFonts w:asciiTheme="majorHAnsi" w:hAnsiTheme="majorHAnsi" w:cstheme="majorHAnsi"/>
          <w:sz w:val="20"/>
          <w:szCs w:val="20"/>
          <w:lang w:eastAsia="lt-LT"/>
        </w:rPr>
      </w:pPr>
    </w:p>
    <w:p w14:paraId="2C467B79" w14:textId="26FBADF2" w:rsidR="00292EAA" w:rsidRDefault="00292EAA" w:rsidP="00292EAA">
      <w:pPr>
        <w:spacing w:after="0" w:line="240" w:lineRule="auto"/>
        <w:ind w:firstLine="851"/>
        <w:jc w:val="both"/>
        <w:rPr>
          <w:rFonts w:asciiTheme="majorHAnsi" w:hAnsiTheme="majorHAnsi" w:cstheme="majorHAnsi"/>
          <w:sz w:val="20"/>
          <w:szCs w:val="20"/>
          <w:lang w:eastAsia="lt-LT"/>
        </w:rPr>
      </w:pPr>
    </w:p>
    <w:p w14:paraId="4F1B365A" w14:textId="77777777" w:rsidR="00292EAA" w:rsidRPr="00292EAA" w:rsidRDefault="00292EAA" w:rsidP="00292EAA">
      <w:pPr>
        <w:spacing w:after="0" w:line="240" w:lineRule="auto"/>
        <w:ind w:left="360"/>
        <w:jc w:val="center"/>
        <w:rPr>
          <w:rFonts w:ascii="Calibri Light" w:eastAsia="Calibri" w:hAnsi="Calibri Light" w:cs="Calibri Light"/>
          <w:b/>
          <w:bCs/>
          <w:sz w:val="24"/>
          <w:szCs w:val="24"/>
        </w:rPr>
      </w:pPr>
      <w:r w:rsidRPr="00292EAA">
        <w:rPr>
          <w:rFonts w:ascii="Calibri Light" w:eastAsia="Calibri" w:hAnsi="Calibri Light" w:cs="Calibri Light"/>
          <w:b/>
          <w:bCs/>
          <w:sz w:val="24"/>
          <w:szCs w:val="24"/>
        </w:rPr>
        <w:lastRenderedPageBreak/>
        <w:t>IX. TEIKIAMŲ PASLAUGŲ NAUDOS PASLAUGŲ GAVĖJAMS REZULTATAI 2024 M.</w:t>
      </w:r>
    </w:p>
    <w:p w14:paraId="6200F907" w14:textId="77777777" w:rsidR="00292EAA" w:rsidRPr="00292EAA" w:rsidRDefault="00292EAA" w:rsidP="00292EAA">
      <w:pPr>
        <w:spacing w:after="0" w:line="240" w:lineRule="auto"/>
        <w:rPr>
          <w:rFonts w:ascii="Times New Roman" w:eastAsia="Calibri" w:hAnsi="Times New Roman" w:cs="Times New Roman"/>
          <w:lang w:val="en-US"/>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0"/>
        <w:gridCol w:w="7649"/>
      </w:tblGrid>
      <w:tr w:rsidR="00292EAA" w:rsidRPr="00292EAA" w14:paraId="3E0AD671" w14:textId="77777777" w:rsidTr="002C0ADB">
        <w:tc>
          <w:tcPr>
            <w:tcW w:w="1980" w:type="dxa"/>
            <w:vAlign w:val="center"/>
          </w:tcPr>
          <w:p w14:paraId="5A5E75AE" w14:textId="77777777" w:rsidR="00292EAA" w:rsidRPr="00292EAA" w:rsidRDefault="00292EAA" w:rsidP="00292EAA">
            <w:pPr>
              <w:spacing w:after="0" w:line="240" w:lineRule="auto"/>
              <w:jc w:val="both"/>
              <w:rPr>
                <w:rFonts w:ascii="Calibri Light" w:eastAsia="Calibri" w:hAnsi="Calibri Light" w:cs="Calibri Light"/>
                <w:b/>
                <w:sz w:val="20"/>
                <w:szCs w:val="20"/>
              </w:rPr>
            </w:pPr>
            <w:r w:rsidRPr="00292EAA">
              <w:rPr>
                <w:rFonts w:ascii="Calibri Light" w:eastAsia="Calibri" w:hAnsi="Calibri Light" w:cs="Calibri Light"/>
                <w:b/>
                <w:sz w:val="20"/>
                <w:szCs w:val="20"/>
              </w:rPr>
              <w:t>43 kriterijus</w:t>
            </w:r>
          </w:p>
        </w:tc>
        <w:tc>
          <w:tcPr>
            <w:tcW w:w="7649" w:type="dxa"/>
          </w:tcPr>
          <w:p w14:paraId="74D582E1" w14:textId="77777777" w:rsidR="00292EAA" w:rsidRPr="00292EAA" w:rsidRDefault="00292EAA" w:rsidP="00292EAA">
            <w:pPr>
              <w:spacing w:after="0" w:line="240" w:lineRule="auto"/>
              <w:jc w:val="both"/>
              <w:rPr>
                <w:rFonts w:ascii="Calibri Light" w:eastAsia="Calibri" w:hAnsi="Calibri Light" w:cs="Calibri Light"/>
                <w:sz w:val="20"/>
                <w:szCs w:val="20"/>
              </w:rPr>
            </w:pPr>
            <w:r w:rsidRPr="00292EAA">
              <w:rPr>
                <w:rFonts w:ascii="Calibri Light" w:eastAsia="Calibri" w:hAnsi="Calibri Light" w:cs="Calibri Light"/>
                <w:sz w:val="20"/>
                <w:szCs w:val="20"/>
              </w:rPr>
              <w:t>Socialinių paslaugų teikėjas fiksuoja suteiktų paslaugų rezultatus ir naudą paslaugų gavėjui individualiu požiūriu.</w:t>
            </w:r>
          </w:p>
        </w:tc>
      </w:tr>
      <w:tr w:rsidR="00292EAA" w:rsidRPr="00292EAA" w14:paraId="14A442E5" w14:textId="77777777" w:rsidTr="002C0ADB">
        <w:tc>
          <w:tcPr>
            <w:tcW w:w="1980" w:type="dxa"/>
            <w:vAlign w:val="center"/>
          </w:tcPr>
          <w:p w14:paraId="40D18BAF" w14:textId="77777777" w:rsidR="00292EAA" w:rsidRPr="00292EAA" w:rsidRDefault="00292EAA" w:rsidP="00292EAA">
            <w:pPr>
              <w:spacing w:after="0" w:line="240" w:lineRule="auto"/>
              <w:jc w:val="both"/>
              <w:rPr>
                <w:rFonts w:ascii="Calibri Light" w:eastAsia="Calibri" w:hAnsi="Calibri Light" w:cs="Calibri Light"/>
                <w:b/>
                <w:bCs/>
                <w:sz w:val="20"/>
                <w:szCs w:val="20"/>
              </w:rPr>
            </w:pPr>
            <w:r w:rsidRPr="00292EAA">
              <w:rPr>
                <w:rFonts w:ascii="Calibri Light" w:eastAsia="Calibri" w:hAnsi="Calibri Light" w:cs="Calibri Light"/>
                <w:b/>
                <w:bCs/>
                <w:sz w:val="20"/>
                <w:szCs w:val="20"/>
              </w:rPr>
              <w:t>Rodiklis</w:t>
            </w:r>
          </w:p>
        </w:tc>
        <w:tc>
          <w:tcPr>
            <w:tcW w:w="7649" w:type="dxa"/>
          </w:tcPr>
          <w:p w14:paraId="41E8A239" w14:textId="77777777" w:rsidR="00292EAA" w:rsidRPr="00292EAA" w:rsidRDefault="00292EAA" w:rsidP="00292EAA">
            <w:pPr>
              <w:spacing w:after="0" w:line="240" w:lineRule="auto"/>
              <w:jc w:val="both"/>
              <w:rPr>
                <w:rFonts w:ascii="Calibri Light" w:eastAsia="Calibri" w:hAnsi="Calibri Light" w:cs="Calibri Light"/>
                <w:sz w:val="20"/>
                <w:szCs w:val="20"/>
              </w:rPr>
            </w:pPr>
            <w:r w:rsidRPr="00292EAA">
              <w:rPr>
                <w:rFonts w:ascii="Calibri Light" w:eastAsia="Calibri" w:hAnsi="Calibri Light" w:cs="Calibri Light"/>
                <w:b/>
                <w:bCs/>
                <w:sz w:val="20"/>
                <w:szCs w:val="20"/>
              </w:rPr>
              <w:t xml:space="preserve">2023 m. ir 2024 m. dienos centre taikomų metodų naudos paslaugų gavėjams rezultatų palyginimas procentine išraiška. </w:t>
            </w:r>
          </w:p>
        </w:tc>
      </w:tr>
    </w:tbl>
    <w:p w14:paraId="7CA70B07" w14:textId="77777777" w:rsidR="00292EAA" w:rsidRPr="00292EAA" w:rsidRDefault="00292EAA" w:rsidP="00292EAA">
      <w:pPr>
        <w:spacing w:after="0" w:line="240" w:lineRule="auto"/>
        <w:jc w:val="both"/>
        <w:rPr>
          <w:rFonts w:ascii="Times New Roman" w:eastAsia="Calibri" w:hAnsi="Times New Roman" w:cs="Times New Roman"/>
        </w:rPr>
      </w:pPr>
      <w:r w:rsidRPr="00292EAA">
        <w:rPr>
          <w:rFonts w:ascii="Times New Roman" w:eastAsia="Calibri" w:hAnsi="Times New Roman" w:cs="Times New Roman"/>
        </w:rPr>
        <w:t xml:space="preserve">         </w:t>
      </w:r>
    </w:p>
    <w:p w14:paraId="2F5F0275" w14:textId="77777777" w:rsidR="00292EAA" w:rsidRPr="00292EAA" w:rsidRDefault="00292EAA" w:rsidP="00292EAA">
      <w:pPr>
        <w:spacing w:after="0" w:line="240" w:lineRule="auto"/>
        <w:jc w:val="both"/>
        <w:rPr>
          <w:rFonts w:ascii="Times New Roman" w:eastAsia="Calibri" w:hAnsi="Times New Roman" w:cs="Times New Roman"/>
        </w:rPr>
      </w:pPr>
      <w:r w:rsidRPr="00292EAA">
        <w:rPr>
          <w:rFonts w:ascii="Calibri" w:eastAsia="Calibri" w:hAnsi="Calibri" w:cs="Calibri"/>
          <w:noProof/>
        </w:rPr>
        <w:drawing>
          <wp:anchor distT="0" distB="0" distL="114300" distR="114300" simplePos="0" relativeHeight="251673600" behindDoc="1" locked="0" layoutInCell="1" allowOverlap="1" wp14:anchorId="04D8EDCD" wp14:editId="1A1ED3B2">
            <wp:simplePos x="0" y="0"/>
            <wp:positionH relativeFrom="column">
              <wp:posOffset>0</wp:posOffset>
            </wp:positionH>
            <wp:positionV relativeFrom="paragraph">
              <wp:posOffset>161290</wp:posOffset>
            </wp:positionV>
            <wp:extent cx="6120765" cy="3208020"/>
            <wp:effectExtent l="0" t="0" r="13335" b="11430"/>
            <wp:wrapTight wrapText="bothSides">
              <wp:wrapPolygon edited="0">
                <wp:start x="0" y="0"/>
                <wp:lineTo x="0" y="21549"/>
                <wp:lineTo x="21580" y="21549"/>
                <wp:lineTo x="21580" y="0"/>
                <wp:lineTo x="0" y="0"/>
              </wp:wrapPolygon>
            </wp:wrapTight>
            <wp:docPr id="2029609395" name="Diagrama 1">
              <a:extLst xmlns:a="http://schemas.openxmlformats.org/drawingml/2006/main">
                <a:ext uri="{FF2B5EF4-FFF2-40B4-BE49-F238E27FC236}">
                  <a16:creationId xmlns:a16="http://schemas.microsoft.com/office/drawing/2014/main" id="{BDAE351A-3827-453F-A619-BC6C6A7F6B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p>
    <w:p w14:paraId="6AEE002B" w14:textId="77777777" w:rsidR="00292EAA" w:rsidRPr="00292EAA" w:rsidRDefault="00292EAA" w:rsidP="00292EAA">
      <w:pPr>
        <w:spacing w:after="0" w:line="240" w:lineRule="auto"/>
        <w:jc w:val="both"/>
        <w:rPr>
          <w:rFonts w:ascii="Times New Roman" w:eastAsia="Calibri" w:hAnsi="Times New Roman" w:cs="Times New Roman"/>
        </w:rPr>
      </w:pPr>
    </w:p>
    <w:p w14:paraId="47895E44" w14:textId="77777777" w:rsidR="00292EAA" w:rsidRPr="00292EAA" w:rsidRDefault="00292EAA" w:rsidP="00292EAA">
      <w:pPr>
        <w:spacing w:after="0" w:line="240" w:lineRule="auto"/>
        <w:ind w:firstLine="709"/>
        <w:jc w:val="both"/>
        <w:rPr>
          <w:rFonts w:ascii="Calibri Light" w:eastAsia="Calibri" w:hAnsi="Calibri Light" w:cs="Calibri Light"/>
          <w:sz w:val="20"/>
          <w:szCs w:val="20"/>
        </w:rPr>
      </w:pPr>
      <w:r w:rsidRPr="00292EAA">
        <w:rPr>
          <w:rFonts w:ascii="Calibri Light" w:eastAsia="Calibri" w:hAnsi="Calibri Light" w:cs="Calibri Light"/>
          <w:sz w:val="20"/>
          <w:szCs w:val="20"/>
        </w:rPr>
        <w:t xml:space="preserve">2023 m. spalio mėn. apklausoje dalyvavo 80 PG, o 2024 m. rugsėjo mėn. – 90 PG ir 10 socialinių darbuotojų iš visų Įstaigos grupių. PG vertino Įstaigoje teikiamų metodų naudą, naudodami vizualizuotą anketą su nuotraukomis, paveikslėliais ir piktogramomis, o darbuotojai pildė atvirą anketą. Vertinti metodai yra šie: „Sensorinės integracijos metodas“, „Hidroterapijos metodas“, „Haloterapijos metodas“, „Alternatyvios komunikacijos metodas“, „Interaktyvių žaidimų metodas“ ir šiais metais įtrauktas „Burbulų“ metodas. PG ir darbuotojai galėjo pasirinkti ar metodas yra „Naudinga“, „Nenaudinga“ ar „Nesinaudoja“. </w:t>
      </w:r>
    </w:p>
    <w:p w14:paraId="7BF23F3A" w14:textId="77777777" w:rsidR="00292EAA" w:rsidRPr="00292EAA" w:rsidRDefault="00292EAA" w:rsidP="00292EAA">
      <w:pPr>
        <w:spacing w:after="0" w:line="240" w:lineRule="auto"/>
        <w:ind w:firstLine="567"/>
        <w:jc w:val="both"/>
        <w:rPr>
          <w:rFonts w:ascii="Calibri Light" w:eastAsia="Calibri" w:hAnsi="Calibri Light" w:cs="Calibri Light"/>
          <w:sz w:val="20"/>
          <w:szCs w:val="20"/>
        </w:rPr>
      </w:pPr>
      <w:r w:rsidRPr="00292EAA">
        <w:rPr>
          <w:rFonts w:ascii="Calibri Light" w:eastAsia="Calibri" w:hAnsi="Calibri Light" w:cs="Calibri Light"/>
          <w:sz w:val="20"/>
          <w:szCs w:val="20"/>
        </w:rPr>
        <w:t>Pagal vertinimo rezultatus labiausiai naudingais pripažinti metodai išliko tokie patys kaip praeitais metais: „Sensorinės integracijos metodas“ 77</w:t>
      </w:r>
      <w:bookmarkStart w:id="8" w:name="_Hlk178762996"/>
      <w:r w:rsidRPr="00292EAA">
        <w:rPr>
          <w:rFonts w:ascii="Calibri Light" w:eastAsia="Calibri" w:hAnsi="Calibri Light" w:cs="Calibri Light"/>
          <w:sz w:val="20"/>
          <w:szCs w:val="20"/>
        </w:rPr>
        <w:t>%</w:t>
      </w:r>
      <w:bookmarkEnd w:id="8"/>
      <w:r w:rsidRPr="00292EAA">
        <w:rPr>
          <w:rFonts w:ascii="Calibri Light" w:eastAsia="Calibri" w:hAnsi="Calibri Light" w:cs="Calibri Light"/>
          <w:sz w:val="20"/>
          <w:szCs w:val="20"/>
        </w:rPr>
        <w:t>, „Haloterapijos metodas“ 81%, ir „Alternatyvios komunikacijos metodas“ 81%. Šiais metais išaugo „Interaktyvių žaidimų metodo“  nauda 73%. Naujas „Burbulų metodas“ buvo įvertintas kaip naudingas 44%, nenaudingas 6%,  nesinaudoja 21%. „Hidroterapijos metodas“ gavo mažiausią naudos įvertinimą 48%. Kiti rodikliai sumažėjo, dėl galimai 2024 m. Įstaigą pradėjusių lankyti 12 naujų PG.</w:t>
      </w:r>
    </w:p>
    <w:p w14:paraId="17707CD3" w14:textId="77777777" w:rsidR="00292EAA" w:rsidRPr="00292EAA" w:rsidRDefault="00292EAA" w:rsidP="00292EAA">
      <w:pPr>
        <w:spacing w:after="0" w:line="240" w:lineRule="auto"/>
        <w:ind w:firstLine="567"/>
        <w:jc w:val="both"/>
        <w:rPr>
          <w:rFonts w:ascii="Calibri Light" w:eastAsia="Calibri" w:hAnsi="Calibri Light" w:cs="Calibri Light"/>
          <w:sz w:val="20"/>
          <w:szCs w:val="20"/>
        </w:rPr>
      </w:pPr>
      <w:r w:rsidRPr="00292EAA">
        <w:rPr>
          <w:rFonts w:ascii="Calibri Light" w:eastAsia="Calibri" w:hAnsi="Calibri Light" w:cs="Calibri Light"/>
          <w:sz w:val="20"/>
          <w:szCs w:val="20"/>
        </w:rPr>
        <w:t xml:space="preserve">Darbuotojų vertinimu, naudingiausias „Sensorinės integracijos metodas“ 100%. Pildydami anketą, darbuotojai komentavo, kad taikant šį metodą PG nusiramina ir  atsipalaiduoja, geriau reaguoja į aplinką, labiau susikoncentruoja veiklai. „Haloterapijos metodas“, „Alternatyvios komunikacijos metodas“, „Interaktyvių žaidimų metodas“ ir „Burbulų metodas“ surinko vienodus teigiamus vertinimus – 90%. Darbuotojai mano, kad šie metodai padeda PG įveikti fizinius, emocinius ir socialinius sunkumus, taip gerinant jų gyvenimo kokybę. Hidroterapijos metodas“ įvertintas kaip naudingas 80% ir nenaudingas 20%. Darbuotojų apklausoje buvo paminėta, kad šis metodas mažiau naudingas, nes daug PG negali naudotis dėl negalios, bijo vandens arba dėl teisėtų atstovų sprendimo. </w:t>
      </w:r>
    </w:p>
    <w:p w14:paraId="51715BBB" w14:textId="77777777" w:rsidR="00292EAA" w:rsidRPr="00292EAA" w:rsidRDefault="00292EAA" w:rsidP="00292EAA">
      <w:pPr>
        <w:spacing w:after="0" w:line="240" w:lineRule="auto"/>
        <w:ind w:firstLine="567"/>
        <w:jc w:val="both"/>
        <w:rPr>
          <w:rFonts w:ascii="Calibri Light" w:eastAsia="Calibri" w:hAnsi="Calibri Light" w:cs="Calibri Light"/>
          <w:sz w:val="20"/>
          <w:szCs w:val="20"/>
        </w:rPr>
      </w:pPr>
      <w:r w:rsidRPr="00292EAA">
        <w:rPr>
          <w:rFonts w:ascii="Calibri Light" w:eastAsia="Calibri" w:hAnsi="Calibri Light" w:cs="Calibri Light"/>
          <w:sz w:val="20"/>
          <w:szCs w:val="20"/>
        </w:rPr>
        <w:t xml:space="preserve">Siekiant užtikrinti taikomų metodų naudos PG matavimo tęstinumą, tikslinga iki 2025 m. gegužės 31 d. aptarti rezultatus ir išsiaiškinti darbuotojų nuomonę apie teikiamų metodų naudą PG bei iki 2025 m. spalio 31 d. palyginti 2024 m. ir 2025 m. rezultatus. </w:t>
      </w:r>
    </w:p>
    <w:p w14:paraId="204CE05A" w14:textId="065D0B2E" w:rsidR="00292EAA" w:rsidRDefault="00292EAA" w:rsidP="00292EAA">
      <w:pPr>
        <w:spacing w:after="0" w:line="240" w:lineRule="auto"/>
        <w:ind w:firstLine="851"/>
        <w:jc w:val="both"/>
        <w:rPr>
          <w:rFonts w:asciiTheme="majorHAnsi" w:hAnsiTheme="majorHAnsi" w:cstheme="majorHAnsi"/>
          <w:sz w:val="20"/>
          <w:szCs w:val="20"/>
          <w:lang w:eastAsia="lt-LT"/>
        </w:rPr>
      </w:pPr>
    </w:p>
    <w:p w14:paraId="3A828FD8" w14:textId="3DD52AC9" w:rsidR="00292EAA" w:rsidRDefault="00292EAA" w:rsidP="00292EAA">
      <w:pPr>
        <w:spacing w:after="0" w:line="240" w:lineRule="auto"/>
        <w:ind w:firstLine="851"/>
        <w:jc w:val="both"/>
        <w:rPr>
          <w:rFonts w:asciiTheme="majorHAnsi" w:hAnsiTheme="majorHAnsi" w:cstheme="majorHAnsi"/>
          <w:sz w:val="20"/>
          <w:szCs w:val="20"/>
          <w:lang w:eastAsia="lt-LT"/>
        </w:rPr>
      </w:pPr>
    </w:p>
    <w:p w14:paraId="35D72847" w14:textId="1A30FBAB" w:rsidR="00292EAA" w:rsidRDefault="00292EAA" w:rsidP="00292EAA">
      <w:pPr>
        <w:spacing w:after="0" w:line="240" w:lineRule="auto"/>
        <w:ind w:firstLine="851"/>
        <w:jc w:val="both"/>
        <w:rPr>
          <w:rFonts w:asciiTheme="majorHAnsi" w:hAnsiTheme="majorHAnsi" w:cstheme="majorHAnsi"/>
          <w:sz w:val="20"/>
          <w:szCs w:val="20"/>
          <w:lang w:eastAsia="lt-LT"/>
        </w:rPr>
      </w:pPr>
    </w:p>
    <w:p w14:paraId="64339AB9" w14:textId="2AC38F9D" w:rsidR="00292EAA" w:rsidRDefault="00292EAA" w:rsidP="00292EAA">
      <w:pPr>
        <w:spacing w:after="0" w:line="240" w:lineRule="auto"/>
        <w:ind w:firstLine="851"/>
        <w:jc w:val="both"/>
        <w:rPr>
          <w:rFonts w:asciiTheme="majorHAnsi" w:hAnsiTheme="majorHAnsi" w:cstheme="majorHAnsi"/>
          <w:sz w:val="20"/>
          <w:szCs w:val="20"/>
          <w:lang w:eastAsia="lt-LT"/>
        </w:rPr>
      </w:pPr>
    </w:p>
    <w:p w14:paraId="2B693CCC" w14:textId="7F4E31E0" w:rsidR="00292EAA" w:rsidRDefault="00292EAA" w:rsidP="00292EAA">
      <w:pPr>
        <w:spacing w:after="0" w:line="240" w:lineRule="auto"/>
        <w:ind w:firstLine="851"/>
        <w:jc w:val="both"/>
        <w:rPr>
          <w:rFonts w:asciiTheme="majorHAnsi" w:hAnsiTheme="majorHAnsi" w:cstheme="majorHAnsi"/>
          <w:sz w:val="20"/>
          <w:szCs w:val="20"/>
          <w:lang w:eastAsia="lt-LT"/>
        </w:rPr>
      </w:pPr>
    </w:p>
    <w:p w14:paraId="75DC616C" w14:textId="2292609A" w:rsidR="00292EAA" w:rsidRDefault="00292EAA" w:rsidP="00292EAA">
      <w:pPr>
        <w:spacing w:after="0" w:line="240" w:lineRule="auto"/>
        <w:ind w:firstLine="851"/>
        <w:jc w:val="both"/>
        <w:rPr>
          <w:rFonts w:asciiTheme="majorHAnsi" w:hAnsiTheme="majorHAnsi" w:cstheme="majorHAnsi"/>
          <w:sz w:val="20"/>
          <w:szCs w:val="20"/>
          <w:lang w:eastAsia="lt-LT"/>
        </w:rPr>
      </w:pPr>
    </w:p>
    <w:p w14:paraId="6C6057EE" w14:textId="77777777" w:rsidR="00292EAA" w:rsidRPr="00292EAA" w:rsidRDefault="00292EAA" w:rsidP="00292EAA">
      <w:pPr>
        <w:jc w:val="center"/>
        <w:rPr>
          <w:rFonts w:ascii="Calibri Light" w:eastAsia="Calibri" w:hAnsi="Calibri Light" w:cs="Calibri Light"/>
          <w:b/>
          <w:sz w:val="24"/>
          <w:szCs w:val="24"/>
        </w:rPr>
      </w:pPr>
      <w:r w:rsidRPr="00292EAA">
        <w:rPr>
          <w:rFonts w:ascii="Calibri Light" w:eastAsia="Calibri" w:hAnsi="Calibri Light" w:cs="Calibri Light"/>
          <w:b/>
          <w:sz w:val="24"/>
          <w:szCs w:val="24"/>
        </w:rPr>
        <w:lastRenderedPageBreak/>
        <w:t xml:space="preserve">X. PASLAUGŲ GAVĖJŲ, JŲ TEISĖTŲ ATSTOVŲ PASITENKINIMO ĮSTAIGOS PASLAUGOMIS IR DARBUOTOJŲ PASITENKINIMO DARBU REZULTATAI </w:t>
      </w:r>
    </w:p>
    <w:p w14:paraId="471A39F9" w14:textId="2877898E" w:rsidR="00292EAA" w:rsidRPr="00292EAA" w:rsidRDefault="0084751A" w:rsidP="00292EAA">
      <w:pPr>
        <w:jc w:val="center"/>
        <w:rPr>
          <w:rFonts w:ascii="Calibri Light" w:eastAsia="Calibri" w:hAnsi="Calibri Light" w:cs="Calibri Light"/>
          <w:b/>
          <w:sz w:val="24"/>
          <w:szCs w:val="24"/>
        </w:rPr>
      </w:pPr>
      <w:r w:rsidRPr="00292EAA">
        <w:rPr>
          <w:rFonts w:ascii="Times New Roman" w:eastAsia="Calibri" w:hAnsi="Times New Roman" w:cs="Times New Roman"/>
          <w:noProof/>
          <w:sz w:val="24"/>
          <w:szCs w:val="24"/>
        </w:rPr>
        <w:drawing>
          <wp:anchor distT="0" distB="0" distL="114300" distR="114300" simplePos="0" relativeHeight="251678720" behindDoc="0" locked="0" layoutInCell="1" allowOverlap="1" wp14:anchorId="20489145" wp14:editId="68CC716D">
            <wp:simplePos x="0" y="0"/>
            <wp:positionH relativeFrom="margin">
              <wp:posOffset>-62865</wp:posOffset>
            </wp:positionH>
            <wp:positionV relativeFrom="paragraph">
              <wp:posOffset>1072515</wp:posOffset>
            </wp:positionV>
            <wp:extent cx="6098540" cy="3292475"/>
            <wp:effectExtent l="0" t="0" r="16510" b="3175"/>
            <wp:wrapThrough wrapText="bothSides">
              <wp:wrapPolygon edited="0">
                <wp:start x="0" y="0"/>
                <wp:lineTo x="0" y="21496"/>
                <wp:lineTo x="21591" y="21496"/>
                <wp:lineTo x="21591" y="0"/>
                <wp:lineTo x="0" y="0"/>
              </wp:wrapPolygon>
            </wp:wrapThrough>
            <wp:docPr id="13" name="Diagrama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r w:rsidR="00292EAA" w:rsidRPr="00292EAA">
        <w:rPr>
          <w:rFonts w:ascii="Calibri Light" w:eastAsia="Calibri" w:hAnsi="Calibri Light" w:cs="Calibri Light"/>
          <w:b/>
          <w:sz w:val="24"/>
          <w:szCs w:val="24"/>
        </w:rPr>
        <w:t>2024 M.</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0"/>
        <w:gridCol w:w="7649"/>
      </w:tblGrid>
      <w:tr w:rsidR="00292EAA" w:rsidRPr="00292EAA" w14:paraId="0F00F22F" w14:textId="77777777" w:rsidTr="002C0ADB">
        <w:tc>
          <w:tcPr>
            <w:tcW w:w="1980" w:type="dxa"/>
            <w:vAlign w:val="center"/>
          </w:tcPr>
          <w:p w14:paraId="542EF0AE" w14:textId="77777777" w:rsidR="00292EAA" w:rsidRPr="00292EAA" w:rsidRDefault="00292EAA" w:rsidP="00292EAA">
            <w:pPr>
              <w:spacing w:after="0" w:line="240" w:lineRule="auto"/>
              <w:jc w:val="both"/>
              <w:rPr>
                <w:rFonts w:ascii="Calibri Light" w:eastAsia="Calibri" w:hAnsi="Calibri Light" w:cs="Calibri Light"/>
                <w:b/>
                <w:sz w:val="20"/>
                <w:szCs w:val="20"/>
              </w:rPr>
            </w:pPr>
            <w:r w:rsidRPr="00292EAA">
              <w:rPr>
                <w:rFonts w:ascii="Calibri Light" w:eastAsia="Calibri" w:hAnsi="Calibri Light" w:cs="Calibri Light"/>
                <w:b/>
                <w:sz w:val="20"/>
                <w:szCs w:val="20"/>
              </w:rPr>
              <w:t>45 kriterijus</w:t>
            </w:r>
          </w:p>
        </w:tc>
        <w:tc>
          <w:tcPr>
            <w:tcW w:w="7649" w:type="dxa"/>
          </w:tcPr>
          <w:p w14:paraId="27D41A48" w14:textId="77777777" w:rsidR="00292EAA" w:rsidRPr="00292EAA" w:rsidRDefault="00292EAA" w:rsidP="00292EAA">
            <w:pPr>
              <w:spacing w:after="0" w:line="240" w:lineRule="auto"/>
              <w:jc w:val="both"/>
              <w:rPr>
                <w:rFonts w:ascii="Calibri Light" w:eastAsia="Calibri" w:hAnsi="Calibri Light" w:cs="Calibri Light"/>
                <w:sz w:val="20"/>
                <w:szCs w:val="20"/>
              </w:rPr>
            </w:pPr>
            <w:r w:rsidRPr="00292EAA">
              <w:rPr>
                <w:rFonts w:ascii="Calibri Light" w:eastAsia="Calibri" w:hAnsi="Calibri Light" w:cs="Calibri Light"/>
                <w:sz w:val="20"/>
                <w:szCs w:val="20"/>
              </w:rPr>
              <w:t>Socialinių paslaugų teikėjas matuoja paslaugų gavėjų ir visų suinteresuotųjų šalių pasitenkinimą remdamasis vidaus ir (arba) išorės vertinimu.</w:t>
            </w:r>
          </w:p>
        </w:tc>
      </w:tr>
      <w:tr w:rsidR="00292EAA" w:rsidRPr="00292EAA" w14:paraId="671120A8" w14:textId="77777777" w:rsidTr="002C0ADB">
        <w:trPr>
          <w:trHeight w:val="545"/>
        </w:trPr>
        <w:tc>
          <w:tcPr>
            <w:tcW w:w="1980" w:type="dxa"/>
            <w:vAlign w:val="center"/>
          </w:tcPr>
          <w:p w14:paraId="3257A721" w14:textId="77777777" w:rsidR="00292EAA" w:rsidRPr="00292EAA" w:rsidRDefault="00292EAA" w:rsidP="00292EAA">
            <w:pPr>
              <w:spacing w:after="0" w:line="240" w:lineRule="auto"/>
              <w:jc w:val="both"/>
              <w:rPr>
                <w:rFonts w:ascii="Calibri Light" w:eastAsia="Calibri" w:hAnsi="Calibri Light" w:cs="Calibri Light"/>
                <w:b/>
                <w:bCs/>
                <w:sz w:val="20"/>
                <w:szCs w:val="20"/>
              </w:rPr>
            </w:pPr>
            <w:r w:rsidRPr="00292EAA">
              <w:rPr>
                <w:rFonts w:ascii="Calibri Light" w:eastAsia="Calibri" w:hAnsi="Calibri Light" w:cs="Calibri Light"/>
                <w:b/>
                <w:bCs/>
                <w:sz w:val="20"/>
                <w:szCs w:val="20"/>
              </w:rPr>
              <w:t>Rodiklis</w:t>
            </w:r>
          </w:p>
        </w:tc>
        <w:tc>
          <w:tcPr>
            <w:tcW w:w="7649" w:type="dxa"/>
          </w:tcPr>
          <w:p w14:paraId="67B35D59" w14:textId="77777777" w:rsidR="00292EAA" w:rsidRPr="00292EAA" w:rsidRDefault="00292EAA" w:rsidP="00292EAA">
            <w:pPr>
              <w:spacing w:after="0" w:line="240" w:lineRule="auto"/>
              <w:jc w:val="both"/>
              <w:rPr>
                <w:rFonts w:ascii="Calibri Light" w:eastAsia="Calibri" w:hAnsi="Calibri Light" w:cs="Calibri Light"/>
                <w:b/>
                <w:sz w:val="20"/>
                <w:szCs w:val="20"/>
              </w:rPr>
            </w:pPr>
            <w:r w:rsidRPr="00292EAA">
              <w:rPr>
                <w:rFonts w:ascii="Calibri Light" w:eastAsia="Calibri" w:hAnsi="Calibri Light" w:cs="Calibri Light"/>
                <w:b/>
                <w:sz w:val="20"/>
                <w:szCs w:val="20"/>
              </w:rPr>
              <w:t>Paslaugų gavėjų̨, jų teisėtų atstovų ir darbuotojų pasitenkinimo darbu ir įstaigos teikiamomis paslaugomis procentinė išraiška.</w:t>
            </w:r>
          </w:p>
        </w:tc>
      </w:tr>
    </w:tbl>
    <w:p w14:paraId="171EBA81" w14:textId="482040A9" w:rsidR="00292EAA" w:rsidRPr="00292EAA" w:rsidRDefault="00292EAA" w:rsidP="0084751A">
      <w:pPr>
        <w:spacing w:after="0" w:line="240" w:lineRule="auto"/>
        <w:jc w:val="both"/>
        <w:rPr>
          <w:rFonts w:ascii="Times New Roman" w:eastAsia="Calibri" w:hAnsi="Times New Roman" w:cs="Times New Roman"/>
          <w:sz w:val="24"/>
          <w:szCs w:val="24"/>
        </w:rPr>
      </w:pPr>
      <w:bookmarkStart w:id="9" w:name="_Hlk155611724"/>
      <w:bookmarkEnd w:id="9"/>
    </w:p>
    <w:p w14:paraId="10E5A8CE" w14:textId="77777777" w:rsidR="00292EAA" w:rsidRPr="00292EAA" w:rsidRDefault="00292EAA" w:rsidP="00292EAA">
      <w:pPr>
        <w:spacing w:after="0" w:line="240" w:lineRule="auto"/>
        <w:ind w:firstLine="851"/>
        <w:jc w:val="both"/>
        <w:rPr>
          <w:rFonts w:ascii="Calibri Light" w:eastAsia="Calibri" w:hAnsi="Calibri Light" w:cs="Calibri Light"/>
          <w:sz w:val="20"/>
          <w:szCs w:val="20"/>
        </w:rPr>
      </w:pPr>
      <w:r w:rsidRPr="00292EAA">
        <w:rPr>
          <w:rFonts w:ascii="Calibri Light" w:eastAsia="Calibri" w:hAnsi="Calibri Light" w:cs="Calibri Light"/>
          <w:sz w:val="20"/>
          <w:szCs w:val="20"/>
        </w:rPr>
        <w:t>PG teisėtų atstovų apklausoje 2023 m. dalyvavo 33 PG teisėti atstovai, o 2024 m. dalyvavo 39 PG teisėti atstovai, kurie vertino personalo ir specialistų pagalbą, bendradarbiavimą, Įstaigos aplinką ir paslaugų organizavimą. Dauguma PG teisėtų atstovų apklausoje teigiamai vertina personalo pagalbą („Labai gerai“ atsakė 67%, „Gerai“ 30</w:t>
      </w:r>
      <w:r w:rsidRPr="00292EAA">
        <w:rPr>
          <w:rFonts w:ascii="Calibri Light" w:eastAsia="Calibri" w:hAnsi="Calibri Light" w:cs="Calibri Light"/>
          <w:sz w:val="20"/>
          <w:szCs w:val="20"/>
          <w:lang w:val="en-US"/>
        </w:rPr>
        <w:t>%</w:t>
      </w:r>
      <w:r w:rsidRPr="00292EAA">
        <w:rPr>
          <w:rFonts w:ascii="Calibri Light" w:eastAsia="Calibri" w:hAnsi="Calibri Light" w:cs="Calibri Light"/>
          <w:sz w:val="20"/>
          <w:szCs w:val="20"/>
        </w:rPr>
        <w:t>), aplinką ir specialistų pagalbą („Labai gerai“ atsakė 60%, „Gerai“ 34%) šiek tiek mažiau PG teisėti atstovai įvertino paslaugų organizavimą („Labai gerai“ atsakė 57%, „Gerai“ 36%). Mažiausias PG teisėtų atstovų skaičius „Labai gerai“ įvertino bendradarbiavimą (50%), todėl numatyta PG teisėtų atstovų apklausą vykdyti du kartus per metus bei organizuoti kartą per metus atvirų durų dieną, kuri skatintų tarpusavio bendradarbiavimą. Pastebima, kad 2023 m. ir 2024 m. apklaustųjų PG teisėtų atstovų procentas dėl paslaugų vertinimo pasiskirstymas tarp „Labai gerai“ ir „Gerai“ išlieka panašus.</w:t>
      </w:r>
    </w:p>
    <w:p w14:paraId="55899451" w14:textId="3B3C5D5E" w:rsidR="00292EAA" w:rsidRPr="00292EAA" w:rsidRDefault="0084751A" w:rsidP="00292EAA">
      <w:pPr>
        <w:jc w:val="both"/>
        <w:rPr>
          <w:rFonts w:ascii="Calibri Light" w:eastAsia="Calibri" w:hAnsi="Calibri Light" w:cs="Calibri Light"/>
          <w:sz w:val="20"/>
          <w:szCs w:val="20"/>
        </w:rPr>
      </w:pPr>
      <w:r w:rsidRPr="00292EAA">
        <w:rPr>
          <w:rFonts w:ascii="Calibri Light" w:eastAsia="Calibri" w:hAnsi="Calibri Light" w:cs="Calibri Light"/>
          <w:noProof/>
          <w:sz w:val="20"/>
          <w:szCs w:val="20"/>
        </w:rPr>
        <w:drawing>
          <wp:anchor distT="0" distB="0" distL="114300" distR="114300" simplePos="0" relativeHeight="251675648" behindDoc="1" locked="0" layoutInCell="1" allowOverlap="1" wp14:anchorId="7D784DD2" wp14:editId="337AF452">
            <wp:simplePos x="0" y="0"/>
            <wp:positionH relativeFrom="margin">
              <wp:posOffset>-110076</wp:posOffset>
            </wp:positionH>
            <wp:positionV relativeFrom="paragraph">
              <wp:posOffset>263635</wp:posOffset>
            </wp:positionV>
            <wp:extent cx="6209969" cy="2742759"/>
            <wp:effectExtent l="0" t="0" r="635" b="635"/>
            <wp:wrapNone/>
            <wp:docPr id="12" name="Diagrama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p>
    <w:p w14:paraId="1A0BCB15" w14:textId="3E00AEBD" w:rsidR="00292EAA" w:rsidRPr="00292EAA" w:rsidRDefault="00292EAA" w:rsidP="00292EAA">
      <w:pPr>
        <w:jc w:val="both"/>
        <w:rPr>
          <w:rFonts w:ascii="Calibri Light" w:eastAsia="Calibri" w:hAnsi="Calibri Light" w:cs="Calibri Light"/>
          <w:sz w:val="20"/>
          <w:szCs w:val="20"/>
        </w:rPr>
      </w:pPr>
    </w:p>
    <w:p w14:paraId="517AAE6F" w14:textId="15D7747E" w:rsidR="00292EAA" w:rsidRPr="00292EAA" w:rsidRDefault="00292EAA" w:rsidP="00292EAA">
      <w:pPr>
        <w:jc w:val="both"/>
        <w:rPr>
          <w:rFonts w:ascii="Calibri Light" w:eastAsia="Calibri" w:hAnsi="Calibri Light" w:cs="Calibri Light"/>
          <w:sz w:val="20"/>
          <w:szCs w:val="20"/>
        </w:rPr>
      </w:pPr>
    </w:p>
    <w:p w14:paraId="6A82AEF0" w14:textId="0381491C" w:rsidR="00292EAA" w:rsidRPr="00292EAA" w:rsidRDefault="00292EAA" w:rsidP="00292EAA">
      <w:pPr>
        <w:jc w:val="both"/>
        <w:rPr>
          <w:rFonts w:ascii="Calibri Light" w:eastAsia="Calibri" w:hAnsi="Calibri Light" w:cs="Calibri Light"/>
          <w:sz w:val="20"/>
          <w:szCs w:val="20"/>
        </w:rPr>
      </w:pPr>
    </w:p>
    <w:p w14:paraId="5B001B45" w14:textId="13EECFCC" w:rsidR="00292EAA" w:rsidRPr="0084751A" w:rsidRDefault="00FC37B1" w:rsidP="0084751A">
      <w:pPr>
        <w:tabs>
          <w:tab w:val="left" w:pos="5310"/>
        </w:tabs>
        <w:jc w:val="both"/>
        <w:rPr>
          <w:rFonts w:ascii="Calibri Light" w:eastAsia="Calibri" w:hAnsi="Calibri Light" w:cs="Calibri Light"/>
          <w:sz w:val="20"/>
          <w:szCs w:val="20"/>
        </w:rPr>
      </w:pPr>
      <w:r w:rsidRPr="0084751A">
        <w:rPr>
          <w:rFonts w:ascii="Calibri Light" w:eastAsia="Calibri" w:hAnsi="Calibri Light" w:cs="Calibri Light"/>
          <w:noProof/>
          <w:sz w:val="18"/>
          <w:szCs w:val="18"/>
        </w:rPr>
        <w:lastRenderedPageBreak/>
        <w:drawing>
          <wp:anchor distT="0" distB="0" distL="114300" distR="114300" simplePos="0" relativeHeight="251676672" behindDoc="1" locked="0" layoutInCell="1" allowOverlap="1" wp14:anchorId="5D5BC9F6" wp14:editId="0F88246A">
            <wp:simplePos x="0" y="0"/>
            <wp:positionH relativeFrom="margin">
              <wp:align>right</wp:align>
            </wp:positionH>
            <wp:positionV relativeFrom="paragraph">
              <wp:posOffset>56515</wp:posOffset>
            </wp:positionV>
            <wp:extent cx="6185535" cy="3665220"/>
            <wp:effectExtent l="0" t="0" r="5715" b="11430"/>
            <wp:wrapTight wrapText="bothSides">
              <wp:wrapPolygon edited="0">
                <wp:start x="0" y="0"/>
                <wp:lineTo x="0" y="21555"/>
                <wp:lineTo x="21553" y="21555"/>
                <wp:lineTo x="21553" y="0"/>
                <wp:lineTo x="0" y="0"/>
              </wp:wrapPolygon>
            </wp:wrapTight>
            <wp:docPr id="14"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margin">
              <wp14:pctWidth>0</wp14:pctWidth>
            </wp14:sizeRelH>
            <wp14:sizeRelV relativeFrom="margin">
              <wp14:pctHeight>0</wp14:pctHeight>
            </wp14:sizeRelV>
          </wp:anchor>
        </w:drawing>
      </w:r>
    </w:p>
    <w:p w14:paraId="2E230FB7" w14:textId="52A7FE73" w:rsidR="00292EAA" w:rsidRPr="00292EAA" w:rsidRDefault="0084751A" w:rsidP="00292EAA">
      <w:pPr>
        <w:spacing w:after="0" w:line="240" w:lineRule="auto"/>
        <w:ind w:firstLine="851"/>
        <w:jc w:val="both"/>
        <w:rPr>
          <w:rFonts w:ascii="Calibri Light" w:eastAsia="Calibri" w:hAnsi="Calibri Light" w:cs="Calibri Light"/>
          <w:sz w:val="20"/>
          <w:szCs w:val="20"/>
        </w:rPr>
      </w:pPr>
      <w:r w:rsidRPr="00292EAA">
        <w:rPr>
          <w:rFonts w:ascii="Calibri Light" w:eastAsia="Calibri" w:hAnsi="Calibri Light" w:cs="Calibri Light"/>
          <w:noProof/>
          <w:sz w:val="20"/>
          <w:szCs w:val="20"/>
        </w:rPr>
        <w:drawing>
          <wp:anchor distT="0" distB="0" distL="114300" distR="114300" simplePos="0" relativeHeight="251679744" behindDoc="0" locked="0" layoutInCell="1" allowOverlap="1" wp14:anchorId="67F18A53" wp14:editId="57751C5D">
            <wp:simplePos x="0" y="0"/>
            <wp:positionH relativeFrom="margin">
              <wp:align>left</wp:align>
            </wp:positionH>
            <wp:positionV relativeFrom="paragraph">
              <wp:posOffset>1616710</wp:posOffset>
            </wp:positionV>
            <wp:extent cx="6068060" cy="2879725"/>
            <wp:effectExtent l="0" t="0" r="8890" b="15875"/>
            <wp:wrapTopAndBottom/>
            <wp:docPr id="11" name="Diagrama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page">
              <wp14:pctWidth>0</wp14:pctWidth>
            </wp14:sizeRelH>
            <wp14:sizeRelV relativeFrom="page">
              <wp14:pctHeight>0</wp14:pctHeight>
            </wp14:sizeRelV>
          </wp:anchor>
        </w:drawing>
      </w:r>
      <w:r w:rsidR="00292EAA" w:rsidRPr="00292EAA">
        <w:rPr>
          <w:rFonts w:ascii="Calibri Light" w:eastAsia="Calibri" w:hAnsi="Calibri Light" w:cs="Calibri Light"/>
          <w:sz w:val="20"/>
          <w:szCs w:val="20"/>
        </w:rPr>
        <w:t>Darbuotojų pasitenkinimo darbu apklausa atlikta 2024 metų rugsėjo mėnesį. Atliekant 2023-2024 metų duomenų palyginimą, galime teigti, kad darbuotojų įsitraukimas į Įstaigos veiklos vertinimą yra pagerėjęs. Vykdomojoje apklausoje 2023 m. dalyvavo 104 įstaigos darbuotojai, o 2024 m. apklausoje sudalyvavo 107 įstaigos darbuotojai. Gauti rezultatai parodė, kad dauguma apklaustųjų pasitenkinimą darbu vertina „Labai gerai“ arba „Gerai“. Tyrime dalyvavę Įstaigos darbuotojai geriausiai įvertino šias pasitenkinimo darbu sritis: „Aprūpinimas darbo priemonėmis“ 61,5% (n = 64), „Kvalifikacijos tobulinimo galimybės“ 55,2% (n = 58), „Sveikatos ir saugos darbe užtikrinimas“ 52,9% (n = 55), „Darbuotojų motyvavimas ir skatinimas“ 52% (n = 54), tačiau 2024 metų vykdomoje apklausoje Įstaigos darbuotojai mažiausiai buvo patenkinti „Reagavimas į darbuotojų pasiūlymus, skundus“ 9,5% (n = 10), todėl siekiant tobulinti kitų metų rezultatus Įstaigoje paruošta atsiliepimų, skundų, pasiūlymų dėžutė, kurioje Įstaigos darbuotojai galės išreikšti savo pasiūlymus bei nuomonę jiems rūpimais klausimais rašant pranešimą ir jį įmetant į atsiliepimų, skundų, pasiūlymų dėžutę.</w:t>
      </w:r>
    </w:p>
    <w:p w14:paraId="121EBDAB" w14:textId="2EC83BB9" w:rsidR="00292EAA" w:rsidRPr="00292EAA" w:rsidRDefault="00292EAA" w:rsidP="00292EAA">
      <w:pPr>
        <w:spacing w:after="0" w:line="240" w:lineRule="auto"/>
        <w:jc w:val="both"/>
        <w:rPr>
          <w:rFonts w:ascii="Calibri Light" w:eastAsia="Calibri" w:hAnsi="Calibri Light" w:cs="Calibri Light"/>
          <w:sz w:val="20"/>
          <w:szCs w:val="20"/>
        </w:rPr>
      </w:pPr>
    </w:p>
    <w:p w14:paraId="405F08F6" w14:textId="77777777" w:rsidR="00292EAA" w:rsidRPr="00292EAA" w:rsidRDefault="00292EAA" w:rsidP="00292EAA">
      <w:pPr>
        <w:spacing w:after="0" w:line="240" w:lineRule="auto"/>
        <w:ind w:firstLine="851"/>
        <w:jc w:val="both"/>
        <w:rPr>
          <w:rFonts w:ascii="Calibri Light" w:eastAsia="Calibri" w:hAnsi="Calibri Light" w:cs="Calibri Light"/>
          <w:sz w:val="20"/>
          <w:szCs w:val="20"/>
          <w:highlight w:val="yellow"/>
          <w:u w:val="single"/>
        </w:rPr>
      </w:pPr>
      <w:r w:rsidRPr="00F56623">
        <w:rPr>
          <w:rFonts w:ascii="Calibri Light" w:eastAsia="Calibri" w:hAnsi="Calibri Light" w:cs="Calibri Light"/>
          <w:noProof/>
          <w:sz w:val="18"/>
          <w:szCs w:val="18"/>
        </w:rPr>
        <w:lastRenderedPageBreak/>
        <w:drawing>
          <wp:anchor distT="0" distB="0" distL="114300" distR="114300" simplePos="0" relativeHeight="251677696" behindDoc="0" locked="0" layoutInCell="1" allowOverlap="1" wp14:anchorId="1D20FA05" wp14:editId="5FAF4A0C">
            <wp:simplePos x="0" y="0"/>
            <wp:positionH relativeFrom="margin">
              <wp:align>right</wp:align>
            </wp:positionH>
            <wp:positionV relativeFrom="paragraph">
              <wp:posOffset>883285</wp:posOffset>
            </wp:positionV>
            <wp:extent cx="6161405" cy="2647315"/>
            <wp:effectExtent l="0" t="0" r="0" b="635"/>
            <wp:wrapTopAndBottom/>
            <wp:docPr id="15" name="Diagrama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page">
              <wp14:pctWidth>0</wp14:pctWidth>
            </wp14:sizeRelH>
            <wp14:sizeRelV relativeFrom="page">
              <wp14:pctHeight>0</wp14:pctHeight>
            </wp14:sizeRelV>
          </wp:anchor>
        </w:drawing>
      </w:r>
      <w:r w:rsidRPr="00292EAA">
        <w:rPr>
          <w:rFonts w:ascii="Calibri Light" w:eastAsia="Calibri" w:hAnsi="Calibri Light" w:cs="Calibri Light"/>
          <w:sz w:val="20"/>
          <w:szCs w:val="20"/>
        </w:rPr>
        <w:t xml:space="preserve">2024 m. rugsėjo mėn. buvo atliekama PG apklausa. PG buvo paruoštos iliustruotos anketos. 2023 m. dalyvavo 81 PG, o 2024 m. apklausoje sudalyvavo 93 PG, kurie kartu su grupės socialiniu darbuotoju naudodamiesi alternatyviosios komunikacijos kortelėmis atsakė į pateikiamus klausimus apie teikiamas paslaugas, kuriomis jie yra patenkinti Įstaigoje. Išanalizavus 2024 metų gautus rezultatus pastebėta, kad labiausiai PG yra patenkinti – „Maitinimo“ 86% (n = 80), „Ugdymo“ 84% (n = 78) „Savarankiško ugdymo“ 83% (n = 77) paslaugomis. </w:t>
      </w:r>
    </w:p>
    <w:p w14:paraId="18E795EB" w14:textId="77777777" w:rsidR="00292EAA" w:rsidRPr="00292EAA" w:rsidRDefault="00292EAA" w:rsidP="00292EAA">
      <w:pPr>
        <w:spacing w:after="0" w:line="240" w:lineRule="auto"/>
        <w:jc w:val="both"/>
        <w:rPr>
          <w:rFonts w:ascii="Calibri Light" w:eastAsia="Calibri" w:hAnsi="Calibri Light" w:cs="Calibri Light"/>
          <w:sz w:val="20"/>
          <w:szCs w:val="20"/>
        </w:rPr>
      </w:pPr>
    </w:p>
    <w:p w14:paraId="076F15F7" w14:textId="77777777" w:rsidR="00292EAA" w:rsidRPr="00292EAA" w:rsidRDefault="00292EAA" w:rsidP="00292EAA">
      <w:pPr>
        <w:spacing w:after="0" w:line="240" w:lineRule="auto"/>
        <w:ind w:firstLine="851"/>
        <w:jc w:val="both"/>
        <w:rPr>
          <w:rFonts w:ascii="Calibri Light" w:eastAsia="Calibri" w:hAnsi="Calibri Light" w:cs="Calibri Light"/>
          <w:sz w:val="20"/>
          <w:szCs w:val="20"/>
        </w:rPr>
      </w:pPr>
      <w:r w:rsidRPr="00292EAA">
        <w:rPr>
          <w:rFonts w:ascii="Calibri Light" w:eastAsia="Calibri" w:hAnsi="Calibri Light" w:cs="Calibri Light"/>
          <w:sz w:val="20"/>
          <w:szCs w:val="20"/>
        </w:rPr>
        <w:t>Atliekant PG 2023-2024 metų pasitenkinimo paslaugomis lyginamosios analizės vertinimą, pastebima, kad daugiau PG 2024 metais didžiąją dalį paslaugų vertino teigiamai „Patinka“ nei 2023 metais. Lyginant gautus rezultatus su ankstesniais metais, matomas teigiamas pokytis, 2023 m. PG pasitenkinimo paslaugomis lyginamosios analizės atotrūkis pastebimas šiose teikiamų paslaugų srityse: kasdieninio gyvenimo įgūdžių ugdymas (79%), socialinių įgūdžių ugdymas (75%), o 2024 m. PG pasitenkinimo paslaugomis lyginamosios analizės atotrūkis pastebimas šiose teikiamų paslaugų srityse: maitinimas (86%), ugdymas (84%), informavimas (79%), savarankiškumo ugdymas (83%).</w:t>
      </w:r>
    </w:p>
    <w:p w14:paraId="4BAA640B" w14:textId="77777777" w:rsidR="00292EAA" w:rsidRPr="00292EAA" w:rsidRDefault="00292EAA" w:rsidP="00292EAA">
      <w:pPr>
        <w:spacing w:after="0" w:line="240" w:lineRule="auto"/>
        <w:ind w:firstLine="851"/>
        <w:jc w:val="both"/>
        <w:rPr>
          <w:rFonts w:ascii="Calibri Light" w:eastAsia="Calibri" w:hAnsi="Calibri Light" w:cs="Calibri Light"/>
          <w:sz w:val="20"/>
          <w:szCs w:val="20"/>
        </w:rPr>
      </w:pPr>
      <w:r w:rsidRPr="00292EAA">
        <w:rPr>
          <w:rFonts w:ascii="Calibri Light" w:eastAsia="Calibri" w:hAnsi="Calibri Light" w:cs="Calibri Light"/>
          <w:sz w:val="20"/>
          <w:szCs w:val="20"/>
        </w:rPr>
        <w:t>Atlikus PG, jų teisėtų atstovų pasitenkinimo paslaugomis ir Įstaigos darbuotojų pasitenkinimo darbu vertinimą, pastebėta, kad PG atstovų įtraukimas į paslaugų vertinimą leidžia identifikuoti tobulintinas įstaigos veiklos sritis. Tobulinant paslaugų kokybę ir siekiant užtikrinti pasitenkinimo rodiklių matavimo tęstinumą, iki 2025 m. spalio 31d. numatoma vėl atlikti kasmetinę anketinę apklausą, skirtą PG, jų tėvų (teisėtų atstovų) pasitenkinimo paslaugomis bei Įstaigos darbuotojų pasitenkinimo darbu vertinimui bei stiprinti PG tėvų (teisėtų atstovų) įsitraukimą į paslaugų organizavimą, reguliariai pildant elektroninę apklausą 2 kartus per metus, tai padės įtraukti PG atstovus į sprendimų priėmimo procesą bei organizuoti kartą per metus atvirų durų dieną, kuri skatintų tarpusavio bendradarbiavimą.</w:t>
      </w:r>
    </w:p>
    <w:p w14:paraId="62CCE67E" w14:textId="77777777" w:rsidR="00292EAA" w:rsidRPr="00292EAA" w:rsidRDefault="00292EAA" w:rsidP="00292EAA">
      <w:pPr>
        <w:spacing w:line="240" w:lineRule="auto"/>
        <w:jc w:val="both"/>
        <w:rPr>
          <w:rFonts w:ascii="Calibri Light" w:eastAsia="Calibri" w:hAnsi="Calibri Light" w:cs="Calibri Light"/>
          <w:sz w:val="20"/>
          <w:szCs w:val="20"/>
        </w:rPr>
      </w:pPr>
    </w:p>
    <w:p w14:paraId="69B34A36" w14:textId="77777777" w:rsidR="00292EAA" w:rsidRPr="00292EAA" w:rsidRDefault="00292EAA" w:rsidP="00292EAA">
      <w:pPr>
        <w:jc w:val="both"/>
        <w:rPr>
          <w:rFonts w:ascii="Calibri Light" w:eastAsia="Calibri" w:hAnsi="Calibri Light" w:cs="Calibri Light"/>
          <w:sz w:val="20"/>
          <w:szCs w:val="20"/>
        </w:rPr>
      </w:pPr>
    </w:p>
    <w:p w14:paraId="1E32DCAD" w14:textId="77777777" w:rsidR="00292EAA" w:rsidRPr="00292EAA" w:rsidRDefault="00292EAA" w:rsidP="00292EAA">
      <w:pPr>
        <w:jc w:val="both"/>
        <w:rPr>
          <w:rFonts w:ascii="Calibri Light" w:eastAsia="Calibri" w:hAnsi="Calibri Light" w:cs="Calibri Light"/>
          <w:sz w:val="20"/>
          <w:szCs w:val="20"/>
        </w:rPr>
      </w:pPr>
    </w:p>
    <w:p w14:paraId="6490AADE" w14:textId="0B26994D" w:rsidR="00292EAA" w:rsidRDefault="00292EAA" w:rsidP="00292EAA">
      <w:pPr>
        <w:spacing w:after="0" w:line="240" w:lineRule="auto"/>
        <w:ind w:firstLine="851"/>
        <w:jc w:val="both"/>
        <w:rPr>
          <w:rFonts w:asciiTheme="majorHAnsi" w:hAnsiTheme="majorHAnsi" w:cstheme="majorHAnsi"/>
          <w:sz w:val="20"/>
          <w:szCs w:val="20"/>
          <w:lang w:eastAsia="lt-LT"/>
        </w:rPr>
      </w:pPr>
    </w:p>
    <w:p w14:paraId="62D3D572" w14:textId="73B05246" w:rsidR="00292EAA" w:rsidRDefault="00292EAA" w:rsidP="00292EAA">
      <w:pPr>
        <w:spacing w:after="0" w:line="240" w:lineRule="auto"/>
        <w:ind w:firstLine="851"/>
        <w:jc w:val="both"/>
        <w:rPr>
          <w:rFonts w:asciiTheme="majorHAnsi" w:hAnsiTheme="majorHAnsi" w:cstheme="majorHAnsi"/>
          <w:sz w:val="20"/>
          <w:szCs w:val="20"/>
          <w:lang w:eastAsia="lt-LT"/>
        </w:rPr>
      </w:pPr>
    </w:p>
    <w:p w14:paraId="4E513BCB" w14:textId="1D6FB809" w:rsidR="00292EAA" w:rsidRDefault="00292EAA" w:rsidP="00292EAA">
      <w:pPr>
        <w:spacing w:after="0" w:line="240" w:lineRule="auto"/>
        <w:ind w:firstLine="851"/>
        <w:jc w:val="both"/>
        <w:rPr>
          <w:rFonts w:asciiTheme="majorHAnsi" w:hAnsiTheme="majorHAnsi" w:cstheme="majorHAnsi"/>
          <w:sz w:val="20"/>
          <w:szCs w:val="20"/>
          <w:lang w:eastAsia="lt-LT"/>
        </w:rPr>
      </w:pPr>
    </w:p>
    <w:p w14:paraId="61F3EA37" w14:textId="656D1B9E" w:rsidR="00292EAA" w:rsidRDefault="00292EAA" w:rsidP="00292EAA">
      <w:pPr>
        <w:spacing w:after="0" w:line="240" w:lineRule="auto"/>
        <w:ind w:firstLine="851"/>
        <w:jc w:val="both"/>
        <w:rPr>
          <w:rFonts w:asciiTheme="majorHAnsi" w:hAnsiTheme="majorHAnsi" w:cstheme="majorHAnsi"/>
          <w:sz w:val="20"/>
          <w:szCs w:val="20"/>
          <w:lang w:eastAsia="lt-LT"/>
        </w:rPr>
      </w:pPr>
    </w:p>
    <w:p w14:paraId="25C95BDC" w14:textId="38D5CA22" w:rsidR="00292EAA" w:rsidRDefault="00292EAA" w:rsidP="00292EAA">
      <w:pPr>
        <w:spacing w:after="0" w:line="240" w:lineRule="auto"/>
        <w:ind w:firstLine="851"/>
        <w:jc w:val="both"/>
        <w:rPr>
          <w:rFonts w:asciiTheme="majorHAnsi" w:hAnsiTheme="majorHAnsi" w:cstheme="majorHAnsi"/>
          <w:sz w:val="20"/>
          <w:szCs w:val="20"/>
          <w:lang w:eastAsia="lt-LT"/>
        </w:rPr>
      </w:pPr>
    </w:p>
    <w:p w14:paraId="7CB85191" w14:textId="461E1200" w:rsidR="00292EAA" w:rsidRDefault="00292EAA" w:rsidP="00292EAA">
      <w:pPr>
        <w:spacing w:after="0" w:line="240" w:lineRule="auto"/>
        <w:ind w:firstLine="851"/>
        <w:jc w:val="both"/>
        <w:rPr>
          <w:rFonts w:asciiTheme="majorHAnsi" w:hAnsiTheme="majorHAnsi" w:cstheme="majorHAnsi"/>
          <w:sz w:val="20"/>
          <w:szCs w:val="20"/>
          <w:lang w:eastAsia="lt-LT"/>
        </w:rPr>
      </w:pPr>
    </w:p>
    <w:p w14:paraId="0AA55A40" w14:textId="04841156" w:rsidR="00292EAA" w:rsidRDefault="00292EAA" w:rsidP="00292EAA">
      <w:pPr>
        <w:spacing w:after="0" w:line="240" w:lineRule="auto"/>
        <w:ind w:firstLine="851"/>
        <w:jc w:val="both"/>
        <w:rPr>
          <w:rFonts w:asciiTheme="majorHAnsi" w:hAnsiTheme="majorHAnsi" w:cstheme="majorHAnsi"/>
          <w:sz w:val="20"/>
          <w:szCs w:val="20"/>
          <w:lang w:eastAsia="lt-LT"/>
        </w:rPr>
      </w:pPr>
    </w:p>
    <w:p w14:paraId="5999B9AD" w14:textId="79750CD8" w:rsidR="00292EAA" w:rsidRDefault="00292EAA" w:rsidP="00292EAA">
      <w:pPr>
        <w:spacing w:after="0" w:line="240" w:lineRule="auto"/>
        <w:ind w:firstLine="851"/>
        <w:jc w:val="both"/>
        <w:rPr>
          <w:rFonts w:asciiTheme="majorHAnsi" w:hAnsiTheme="majorHAnsi" w:cstheme="majorHAnsi"/>
          <w:sz w:val="20"/>
          <w:szCs w:val="20"/>
          <w:lang w:eastAsia="lt-LT"/>
        </w:rPr>
      </w:pPr>
    </w:p>
    <w:p w14:paraId="1A7AA2FF" w14:textId="6DCBD318" w:rsidR="00292EAA" w:rsidRDefault="00292EAA" w:rsidP="00292EAA">
      <w:pPr>
        <w:spacing w:after="0" w:line="240" w:lineRule="auto"/>
        <w:ind w:firstLine="851"/>
        <w:jc w:val="both"/>
        <w:rPr>
          <w:rFonts w:asciiTheme="majorHAnsi" w:hAnsiTheme="majorHAnsi" w:cstheme="majorHAnsi"/>
          <w:sz w:val="20"/>
          <w:szCs w:val="20"/>
          <w:lang w:eastAsia="lt-LT"/>
        </w:rPr>
      </w:pPr>
    </w:p>
    <w:p w14:paraId="3F6E4458" w14:textId="0440AAEE" w:rsidR="00292EAA" w:rsidRDefault="00292EAA" w:rsidP="00292EAA">
      <w:pPr>
        <w:spacing w:after="0" w:line="240" w:lineRule="auto"/>
        <w:ind w:firstLine="851"/>
        <w:jc w:val="both"/>
        <w:rPr>
          <w:rFonts w:asciiTheme="majorHAnsi" w:hAnsiTheme="majorHAnsi" w:cstheme="majorHAnsi"/>
          <w:sz w:val="20"/>
          <w:szCs w:val="20"/>
          <w:lang w:eastAsia="lt-LT"/>
        </w:rPr>
      </w:pPr>
    </w:p>
    <w:p w14:paraId="3FEA2076" w14:textId="13EC2AF5" w:rsidR="00292EAA" w:rsidRDefault="00292EAA" w:rsidP="00292EAA">
      <w:pPr>
        <w:spacing w:after="0" w:line="240" w:lineRule="auto"/>
        <w:ind w:firstLine="851"/>
        <w:jc w:val="both"/>
        <w:rPr>
          <w:rFonts w:asciiTheme="majorHAnsi" w:hAnsiTheme="majorHAnsi" w:cstheme="majorHAnsi"/>
          <w:sz w:val="20"/>
          <w:szCs w:val="20"/>
          <w:lang w:eastAsia="lt-LT"/>
        </w:rPr>
      </w:pPr>
    </w:p>
    <w:p w14:paraId="6638B58B" w14:textId="28998CB5" w:rsidR="00292EAA" w:rsidRDefault="00292EAA" w:rsidP="00292EAA">
      <w:pPr>
        <w:spacing w:after="0" w:line="240" w:lineRule="auto"/>
        <w:ind w:firstLine="851"/>
        <w:jc w:val="both"/>
        <w:rPr>
          <w:rFonts w:asciiTheme="majorHAnsi" w:hAnsiTheme="majorHAnsi" w:cstheme="majorHAnsi"/>
          <w:sz w:val="20"/>
          <w:szCs w:val="20"/>
          <w:lang w:eastAsia="lt-LT"/>
        </w:rPr>
      </w:pPr>
    </w:p>
    <w:p w14:paraId="25B7D538" w14:textId="187B9A8A" w:rsidR="00292EAA" w:rsidRDefault="00292EAA" w:rsidP="00292EAA">
      <w:pPr>
        <w:spacing w:after="0" w:line="240" w:lineRule="auto"/>
        <w:ind w:firstLine="851"/>
        <w:jc w:val="both"/>
        <w:rPr>
          <w:rFonts w:asciiTheme="majorHAnsi" w:hAnsiTheme="majorHAnsi" w:cstheme="majorHAnsi"/>
          <w:sz w:val="20"/>
          <w:szCs w:val="20"/>
          <w:lang w:eastAsia="lt-LT"/>
        </w:rPr>
      </w:pPr>
    </w:p>
    <w:p w14:paraId="58E467C3" w14:textId="4D6D968E" w:rsidR="00292EAA" w:rsidRDefault="00292EAA" w:rsidP="00292EAA">
      <w:pPr>
        <w:spacing w:after="0" w:line="240" w:lineRule="auto"/>
        <w:ind w:firstLine="851"/>
        <w:jc w:val="both"/>
        <w:rPr>
          <w:rFonts w:asciiTheme="majorHAnsi" w:hAnsiTheme="majorHAnsi" w:cstheme="majorHAnsi"/>
          <w:sz w:val="20"/>
          <w:szCs w:val="20"/>
          <w:lang w:eastAsia="lt-LT"/>
        </w:rPr>
      </w:pPr>
    </w:p>
    <w:p w14:paraId="04449829" w14:textId="57C4C7C2" w:rsidR="00292EAA" w:rsidRDefault="00292EAA" w:rsidP="00292EAA">
      <w:pPr>
        <w:spacing w:after="0" w:line="240" w:lineRule="auto"/>
        <w:ind w:firstLine="851"/>
        <w:jc w:val="both"/>
        <w:rPr>
          <w:rFonts w:asciiTheme="majorHAnsi" w:hAnsiTheme="majorHAnsi" w:cstheme="majorHAnsi"/>
          <w:sz w:val="20"/>
          <w:szCs w:val="20"/>
          <w:lang w:eastAsia="lt-LT"/>
        </w:rPr>
      </w:pPr>
    </w:p>
    <w:p w14:paraId="07CA9C2B" w14:textId="77777777" w:rsidR="00292EAA" w:rsidRPr="00292EAA" w:rsidRDefault="00292EAA" w:rsidP="00292EAA">
      <w:pPr>
        <w:jc w:val="center"/>
        <w:rPr>
          <w:rFonts w:asciiTheme="majorHAnsi" w:hAnsiTheme="majorHAnsi" w:cstheme="majorHAnsi"/>
          <w:b/>
          <w:sz w:val="24"/>
          <w:szCs w:val="24"/>
          <w:lang w:val="en-US"/>
        </w:rPr>
      </w:pPr>
      <w:r w:rsidRPr="00292EAA">
        <w:rPr>
          <w:rFonts w:asciiTheme="majorHAnsi" w:hAnsiTheme="majorHAnsi" w:cstheme="majorHAnsi"/>
          <w:b/>
          <w:sz w:val="24"/>
          <w:szCs w:val="24"/>
          <w:lang w:val="en-US"/>
        </w:rPr>
        <w:lastRenderedPageBreak/>
        <w:t>XI. REZULTATAI, RODANTYS KAIP PASLAUGŲ GAVĖJAI, JŲ TĖVAI (GLOBĖJAI, RŪPINTOJAI), PARTNERIAI IR STEIGĖJAI VERTINA ĮSTAIGOS VEIKLOS REZULTATUS.</w:t>
      </w:r>
    </w:p>
    <w:p w14:paraId="02D5C1AA" w14:textId="77777777" w:rsidR="00292EAA" w:rsidRPr="00292EAA" w:rsidRDefault="00292EAA" w:rsidP="00292EAA">
      <w:pPr>
        <w:jc w:val="center"/>
        <w:rPr>
          <w:rFonts w:ascii="Times New Roman" w:hAnsi="Times New Roman" w:cs="Times New Roman"/>
          <w:b/>
          <w:sz w:val="24"/>
          <w:szCs w:val="24"/>
          <w:lang w:val="en-US"/>
        </w:rPr>
      </w:pPr>
    </w:p>
    <w:tbl>
      <w:tblPr>
        <w:tblW w:w="10179"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65"/>
        <w:gridCol w:w="8814"/>
      </w:tblGrid>
      <w:tr w:rsidR="00292EAA" w:rsidRPr="00292EAA" w14:paraId="4BE86652" w14:textId="77777777" w:rsidTr="00FC37B1">
        <w:trPr>
          <w:trHeight w:val="215"/>
        </w:trPr>
        <w:tc>
          <w:tcPr>
            <w:tcW w:w="1365" w:type="dxa"/>
            <w:tcBorders>
              <w:top w:val="single" w:sz="4" w:space="0" w:color="auto"/>
              <w:left w:val="single" w:sz="4" w:space="0" w:color="auto"/>
              <w:bottom w:val="single" w:sz="4" w:space="0" w:color="auto"/>
              <w:right w:val="single" w:sz="4" w:space="0" w:color="auto"/>
            </w:tcBorders>
            <w:vAlign w:val="center"/>
            <w:hideMark/>
          </w:tcPr>
          <w:p w14:paraId="5D735865" w14:textId="77777777" w:rsidR="00292EAA" w:rsidRPr="00292EAA" w:rsidRDefault="00292EAA" w:rsidP="00292EAA">
            <w:pPr>
              <w:spacing w:after="0" w:line="240" w:lineRule="auto"/>
              <w:jc w:val="both"/>
              <w:rPr>
                <w:rFonts w:asciiTheme="majorHAnsi" w:eastAsia="Calibri" w:hAnsiTheme="majorHAnsi" w:cstheme="majorHAnsi"/>
                <w:b/>
                <w:sz w:val="20"/>
                <w:szCs w:val="20"/>
              </w:rPr>
            </w:pPr>
            <w:r w:rsidRPr="00292EAA">
              <w:rPr>
                <w:rFonts w:asciiTheme="majorHAnsi" w:eastAsia="Calibri" w:hAnsiTheme="majorHAnsi" w:cstheme="majorHAnsi"/>
                <w:b/>
                <w:sz w:val="20"/>
                <w:szCs w:val="20"/>
                <w:lang w:eastAsia="lt-LT"/>
              </w:rPr>
              <w:t>46 kriterijus</w:t>
            </w:r>
          </w:p>
        </w:tc>
        <w:tc>
          <w:tcPr>
            <w:tcW w:w="8814" w:type="dxa"/>
            <w:tcBorders>
              <w:top w:val="single" w:sz="4" w:space="0" w:color="auto"/>
              <w:left w:val="single" w:sz="4" w:space="0" w:color="auto"/>
              <w:bottom w:val="single" w:sz="4" w:space="0" w:color="auto"/>
              <w:right w:val="single" w:sz="4" w:space="0" w:color="auto"/>
            </w:tcBorders>
            <w:hideMark/>
          </w:tcPr>
          <w:p w14:paraId="2D12F908" w14:textId="77777777" w:rsidR="00292EAA" w:rsidRPr="00292EAA" w:rsidRDefault="00292EAA" w:rsidP="00FC37B1">
            <w:pPr>
              <w:spacing w:line="240" w:lineRule="auto"/>
              <w:ind w:right="1234"/>
              <w:jc w:val="both"/>
              <w:rPr>
                <w:rFonts w:asciiTheme="majorHAnsi" w:hAnsiTheme="majorHAnsi" w:cstheme="majorHAnsi"/>
                <w:sz w:val="20"/>
                <w:szCs w:val="20"/>
                <w:lang w:eastAsia="lt-LT"/>
              </w:rPr>
            </w:pPr>
            <w:r w:rsidRPr="00292EAA">
              <w:rPr>
                <w:rFonts w:asciiTheme="majorHAnsi" w:hAnsiTheme="majorHAnsi" w:cstheme="majorHAnsi"/>
                <w:sz w:val="20"/>
                <w:szCs w:val="20"/>
                <w:lang w:eastAsia="lt-LT"/>
              </w:rPr>
              <w:t>Socialinių paslaugų teikėjas teikia prieinamą, lengvai suprantamą informaciją apie užfiksuotus rezultatus, įskaitant apklausų rezultatus.</w:t>
            </w:r>
          </w:p>
        </w:tc>
      </w:tr>
      <w:tr w:rsidR="00292EAA" w:rsidRPr="00292EAA" w14:paraId="2AC62BBB" w14:textId="77777777" w:rsidTr="00FC37B1">
        <w:trPr>
          <w:trHeight w:val="676"/>
        </w:trPr>
        <w:tc>
          <w:tcPr>
            <w:tcW w:w="1365" w:type="dxa"/>
            <w:tcBorders>
              <w:top w:val="single" w:sz="4" w:space="0" w:color="auto"/>
              <w:left w:val="single" w:sz="4" w:space="0" w:color="auto"/>
              <w:bottom w:val="single" w:sz="4" w:space="0" w:color="auto"/>
              <w:right w:val="single" w:sz="4" w:space="0" w:color="auto"/>
            </w:tcBorders>
            <w:vAlign w:val="center"/>
            <w:hideMark/>
          </w:tcPr>
          <w:p w14:paraId="2DAA3D65" w14:textId="77777777" w:rsidR="00292EAA" w:rsidRPr="00292EAA" w:rsidRDefault="00292EAA" w:rsidP="00292EAA">
            <w:pPr>
              <w:spacing w:after="0" w:line="240" w:lineRule="auto"/>
              <w:jc w:val="both"/>
              <w:rPr>
                <w:rFonts w:asciiTheme="majorHAnsi" w:eastAsia="Calibri" w:hAnsiTheme="majorHAnsi" w:cstheme="majorHAnsi"/>
                <w:b/>
                <w:bCs/>
                <w:sz w:val="20"/>
                <w:szCs w:val="20"/>
              </w:rPr>
            </w:pPr>
            <w:r w:rsidRPr="00292EAA">
              <w:rPr>
                <w:rFonts w:asciiTheme="majorHAnsi" w:eastAsia="Calibri" w:hAnsiTheme="majorHAnsi" w:cstheme="majorHAnsi"/>
                <w:b/>
                <w:bCs/>
                <w:sz w:val="20"/>
                <w:szCs w:val="20"/>
              </w:rPr>
              <w:t>Rodikliai</w:t>
            </w:r>
          </w:p>
        </w:tc>
        <w:tc>
          <w:tcPr>
            <w:tcW w:w="8814" w:type="dxa"/>
            <w:tcBorders>
              <w:top w:val="single" w:sz="4" w:space="0" w:color="auto"/>
              <w:left w:val="single" w:sz="4" w:space="0" w:color="auto"/>
              <w:bottom w:val="single" w:sz="4" w:space="0" w:color="auto"/>
              <w:right w:val="single" w:sz="4" w:space="0" w:color="auto"/>
            </w:tcBorders>
            <w:hideMark/>
          </w:tcPr>
          <w:p w14:paraId="77020ADA" w14:textId="77777777" w:rsidR="00292EAA" w:rsidRPr="00292EAA" w:rsidRDefault="00292EAA" w:rsidP="00FC37B1">
            <w:pPr>
              <w:numPr>
                <w:ilvl w:val="0"/>
                <w:numId w:val="5"/>
              </w:numPr>
              <w:spacing w:line="240" w:lineRule="auto"/>
              <w:ind w:right="1234"/>
              <w:jc w:val="both"/>
              <w:rPr>
                <w:rFonts w:asciiTheme="majorHAnsi" w:eastAsia="Calibri" w:hAnsiTheme="majorHAnsi" w:cstheme="majorHAnsi"/>
                <w:b/>
                <w:iCs/>
                <w:sz w:val="20"/>
                <w:szCs w:val="20"/>
              </w:rPr>
            </w:pPr>
            <w:r w:rsidRPr="00292EAA">
              <w:rPr>
                <w:rFonts w:asciiTheme="majorHAnsi" w:eastAsia="Calibri" w:hAnsiTheme="majorHAnsi" w:cstheme="majorHAnsi"/>
                <w:b/>
                <w:iCs/>
                <w:sz w:val="20"/>
                <w:szCs w:val="20"/>
              </w:rPr>
              <w:t>Paslaugų gavėjų, teigiančių, kad informacija apie Įstaigos veiklas jiems yra suprantama, procentinė išraiška 2023 m. ir 2024 m.;</w:t>
            </w:r>
          </w:p>
          <w:p w14:paraId="2467521F" w14:textId="77777777" w:rsidR="00292EAA" w:rsidRPr="00292EAA" w:rsidRDefault="00292EAA" w:rsidP="00FC37B1">
            <w:pPr>
              <w:numPr>
                <w:ilvl w:val="0"/>
                <w:numId w:val="5"/>
              </w:numPr>
              <w:spacing w:line="240" w:lineRule="auto"/>
              <w:ind w:right="1234"/>
              <w:jc w:val="both"/>
              <w:rPr>
                <w:rFonts w:asciiTheme="majorHAnsi" w:eastAsia="Calibri" w:hAnsiTheme="majorHAnsi" w:cstheme="majorHAnsi"/>
                <w:b/>
                <w:iCs/>
                <w:sz w:val="20"/>
                <w:szCs w:val="20"/>
              </w:rPr>
            </w:pPr>
            <w:r w:rsidRPr="00292EAA">
              <w:rPr>
                <w:rFonts w:asciiTheme="majorHAnsi" w:eastAsia="Calibri" w:hAnsiTheme="majorHAnsi" w:cstheme="majorHAnsi"/>
                <w:b/>
                <w:iCs/>
                <w:sz w:val="20"/>
                <w:szCs w:val="20"/>
              </w:rPr>
              <w:t>paslaugų gavėjų atstovų, partnerių ir steigėjų veiklos rezultatų suprantamumo vertinimas 2024 m.</w:t>
            </w:r>
          </w:p>
        </w:tc>
      </w:tr>
    </w:tbl>
    <w:p w14:paraId="0F886ED1" w14:textId="55D27E8D" w:rsidR="00292EAA" w:rsidRPr="00292EAA" w:rsidRDefault="00292EAA" w:rsidP="00292EAA">
      <w:pPr>
        <w:spacing w:after="0" w:line="360" w:lineRule="auto"/>
        <w:jc w:val="both"/>
        <w:rPr>
          <w:rFonts w:ascii="Times New Roman" w:hAnsi="Times New Roman" w:cs="Times New Roman"/>
          <w:bCs/>
          <w:sz w:val="24"/>
          <w:szCs w:val="24"/>
        </w:rPr>
      </w:pPr>
    </w:p>
    <w:p w14:paraId="00BC29A1" w14:textId="4EE72CD4" w:rsidR="00292EAA" w:rsidRPr="00F56623" w:rsidRDefault="00F56623" w:rsidP="00F56623">
      <w:pPr>
        <w:spacing w:after="0" w:line="360" w:lineRule="auto"/>
        <w:jc w:val="both"/>
        <w:rPr>
          <w:rFonts w:ascii="Times New Roman" w:hAnsi="Times New Roman" w:cs="Times New Roman"/>
          <w:b/>
          <w:sz w:val="24"/>
        </w:rPr>
      </w:pPr>
      <w:r w:rsidRPr="00F56623">
        <w:rPr>
          <w:rFonts w:asciiTheme="majorHAnsi" w:hAnsiTheme="majorHAnsi" w:cstheme="majorHAnsi"/>
          <w:noProof/>
          <w:sz w:val="20"/>
          <w:szCs w:val="20"/>
        </w:rPr>
        <w:drawing>
          <wp:anchor distT="0" distB="0" distL="114300" distR="114300" simplePos="0" relativeHeight="251683840" behindDoc="0" locked="0" layoutInCell="1" allowOverlap="1" wp14:anchorId="2C42E25B" wp14:editId="0E975434">
            <wp:simplePos x="0" y="0"/>
            <wp:positionH relativeFrom="page">
              <wp:posOffset>468630</wp:posOffset>
            </wp:positionH>
            <wp:positionV relativeFrom="margin">
              <wp:posOffset>2704465</wp:posOffset>
            </wp:positionV>
            <wp:extent cx="6800850" cy="2867660"/>
            <wp:effectExtent l="0" t="0" r="0" b="8890"/>
            <wp:wrapSquare wrapText="bothSides"/>
            <wp:docPr id="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6800850" cy="2867660"/>
                    </a:xfrm>
                    <a:prstGeom prst="rect">
                      <a:avLst/>
                    </a:prstGeom>
                  </pic:spPr>
                </pic:pic>
              </a:graphicData>
            </a:graphic>
            <wp14:sizeRelH relativeFrom="margin">
              <wp14:pctWidth>0</wp14:pctWidth>
            </wp14:sizeRelH>
            <wp14:sizeRelV relativeFrom="margin">
              <wp14:pctHeight>0</wp14:pctHeight>
            </wp14:sizeRelV>
          </wp:anchor>
        </w:drawing>
      </w:r>
    </w:p>
    <w:p w14:paraId="4D95AA47" w14:textId="77777777" w:rsidR="00292EAA" w:rsidRPr="00292EAA" w:rsidRDefault="00292EAA" w:rsidP="00292EAA">
      <w:pPr>
        <w:spacing w:after="0" w:line="240" w:lineRule="auto"/>
        <w:ind w:firstLine="562"/>
        <w:jc w:val="both"/>
        <w:rPr>
          <w:rFonts w:ascii="Times New Roman" w:hAnsi="Times New Roman" w:cs="Times New Roman"/>
          <w:sz w:val="24"/>
        </w:rPr>
      </w:pPr>
    </w:p>
    <w:p w14:paraId="01B25469" w14:textId="77777777" w:rsidR="00292EAA" w:rsidRPr="00292EAA" w:rsidRDefault="00292EAA" w:rsidP="00292EAA">
      <w:pPr>
        <w:spacing w:after="0" w:line="240" w:lineRule="auto"/>
        <w:ind w:firstLine="562"/>
        <w:jc w:val="both"/>
        <w:rPr>
          <w:rFonts w:asciiTheme="majorHAnsi" w:hAnsiTheme="majorHAnsi" w:cstheme="majorHAnsi"/>
          <w:b/>
          <w:sz w:val="20"/>
          <w:szCs w:val="20"/>
        </w:rPr>
      </w:pPr>
      <w:r w:rsidRPr="00292EAA">
        <w:rPr>
          <w:rFonts w:asciiTheme="majorHAnsi" w:hAnsiTheme="majorHAnsi" w:cstheme="majorHAnsi"/>
          <w:b/>
          <w:sz w:val="20"/>
          <w:szCs w:val="20"/>
        </w:rPr>
        <w:t>PG vertinimas:</w:t>
      </w:r>
    </w:p>
    <w:p w14:paraId="315CE9F5" w14:textId="77777777" w:rsidR="00292EAA" w:rsidRPr="00292EAA" w:rsidRDefault="00292EAA" w:rsidP="00292EAA">
      <w:pPr>
        <w:spacing w:after="0" w:line="240" w:lineRule="auto"/>
        <w:ind w:firstLine="562"/>
        <w:jc w:val="both"/>
        <w:rPr>
          <w:rFonts w:asciiTheme="majorHAnsi" w:hAnsiTheme="majorHAnsi" w:cstheme="majorHAnsi"/>
          <w:sz w:val="20"/>
          <w:szCs w:val="20"/>
        </w:rPr>
      </w:pPr>
      <w:r w:rsidRPr="00292EAA">
        <w:rPr>
          <w:rFonts w:asciiTheme="majorHAnsi" w:hAnsiTheme="majorHAnsi" w:cstheme="majorHAnsi"/>
          <w:sz w:val="20"/>
          <w:szCs w:val="20"/>
        </w:rPr>
        <w:t>2024 m. rugsėjį, naudojant iliustruotas anketas, buvo apklausti 83 PG, kurie vertino informacijos apie Įstaigos veiklas suprantamumą. Rezultatai rodo, kad supratimas neženkliai pakito nuo 2023 m.: išvykas suprato 71%, šventes 83%, parodas 58%, gimtadienius 81%, interaktyvius užsiėmimus 70%. Parodų nesuprantamumo lygis išliko 27%. Pastebėtas 20% augimas interaktyvių užsiėmimų supratime. Išvada – informacijos apie Įstaigos veiklas suprantamumas per 2024 m. liko stabilus arba truputį pagerėjo. Ypač pagerėjo informacijos apie interaktyvius užsiėmimus supratimas.</w:t>
      </w:r>
    </w:p>
    <w:p w14:paraId="54881D1E" w14:textId="77777777" w:rsidR="00292EAA" w:rsidRPr="00292EAA" w:rsidRDefault="00292EAA" w:rsidP="00292EAA">
      <w:pPr>
        <w:spacing w:after="0" w:line="240" w:lineRule="auto"/>
        <w:ind w:firstLine="567"/>
        <w:jc w:val="both"/>
        <w:rPr>
          <w:rFonts w:asciiTheme="majorHAnsi" w:hAnsiTheme="majorHAnsi" w:cstheme="majorHAnsi"/>
          <w:sz w:val="20"/>
          <w:szCs w:val="20"/>
        </w:rPr>
      </w:pPr>
    </w:p>
    <w:p w14:paraId="04D1F2D3" w14:textId="77777777" w:rsidR="00292EAA" w:rsidRPr="00292EAA" w:rsidRDefault="00292EAA" w:rsidP="00292EAA">
      <w:pPr>
        <w:spacing w:after="0" w:line="240" w:lineRule="auto"/>
        <w:ind w:firstLine="567"/>
        <w:jc w:val="both"/>
        <w:rPr>
          <w:rFonts w:ascii="Times New Roman" w:hAnsi="Times New Roman" w:cs="Times New Roman"/>
          <w:sz w:val="24"/>
          <w:szCs w:val="24"/>
        </w:rPr>
      </w:pPr>
    </w:p>
    <w:p w14:paraId="055D43D9" w14:textId="05E9F01D" w:rsidR="00292EAA" w:rsidRPr="00292EAA" w:rsidRDefault="00F56623" w:rsidP="00292EAA">
      <w:pPr>
        <w:spacing w:after="0" w:line="240" w:lineRule="auto"/>
        <w:ind w:firstLine="567"/>
        <w:jc w:val="both"/>
        <w:rPr>
          <w:rFonts w:ascii="Times New Roman" w:hAnsi="Times New Roman" w:cs="Times New Roman"/>
          <w:sz w:val="24"/>
          <w:szCs w:val="24"/>
        </w:rPr>
      </w:pPr>
      <w:r w:rsidRPr="00292EAA">
        <w:rPr>
          <w:rFonts w:asciiTheme="majorHAnsi" w:hAnsiTheme="majorHAnsi" w:cstheme="majorHAnsi"/>
          <w:noProof/>
          <w:sz w:val="20"/>
          <w:szCs w:val="20"/>
          <w:lang w:val="en-US"/>
        </w:rPr>
        <w:lastRenderedPageBreak/>
        <w:drawing>
          <wp:anchor distT="0" distB="0" distL="114300" distR="114300" simplePos="0" relativeHeight="251684864" behindDoc="0" locked="0" layoutInCell="1" allowOverlap="1" wp14:anchorId="2FAA5B8E" wp14:editId="70CD39FC">
            <wp:simplePos x="0" y="0"/>
            <wp:positionH relativeFrom="margin">
              <wp:posOffset>-118110</wp:posOffset>
            </wp:positionH>
            <wp:positionV relativeFrom="margin">
              <wp:posOffset>-483870</wp:posOffset>
            </wp:positionV>
            <wp:extent cx="6320790" cy="2536825"/>
            <wp:effectExtent l="0" t="0" r="3810" b="15875"/>
            <wp:wrapSquare wrapText="bothSides"/>
            <wp:docPr id="27" name="Chart 10">
              <a:extLst xmlns:a="http://schemas.openxmlformats.org/drawingml/2006/main">
                <a:ext uri="{FF2B5EF4-FFF2-40B4-BE49-F238E27FC236}">
                  <a16:creationId xmlns:a16="http://schemas.microsoft.com/office/drawing/2014/main" id="{BDAE351A-3827-453F-A619-BC6C6A7F6B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margin">
              <wp14:pctWidth>0</wp14:pctWidth>
            </wp14:sizeRelH>
            <wp14:sizeRelV relativeFrom="margin">
              <wp14:pctHeight>0</wp14:pctHeight>
            </wp14:sizeRelV>
          </wp:anchor>
        </w:drawing>
      </w:r>
      <w:r w:rsidRPr="00292EAA">
        <w:rPr>
          <w:noProof/>
          <w:lang w:val="en-US"/>
        </w:rPr>
        <w:drawing>
          <wp:anchor distT="0" distB="0" distL="114300" distR="114300" simplePos="0" relativeHeight="251682816" behindDoc="0" locked="0" layoutInCell="1" allowOverlap="1" wp14:anchorId="3C43BC7B" wp14:editId="01952B8E">
            <wp:simplePos x="0" y="0"/>
            <wp:positionH relativeFrom="margin">
              <wp:posOffset>-94615</wp:posOffset>
            </wp:positionH>
            <wp:positionV relativeFrom="margin">
              <wp:posOffset>-436245</wp:posOffset>
            </wp:positionV>
            <wp:extent cx="6296660" cy="2458720"/>
            <wp:effectExtent l="0" t="0" r="8890" b="17780"/>
            <wp:wrapSquare wrapText="bothSides"/>
            <wp:docPr id="26" name="Chart 1">
              <a:extLst xmlns:a="http://schemas.openxmlformats.org/drawingml/2006/main">
                <a:ext uri="{FF2B5EF4-FFF2-40B4-BE49-F238E27FC236}">
                  <a16:creationId xmlns:a16="http://schemas.microsoft.com/office/drawing/2014/main" id="{BDAE351A-3827-453F-A619-BC6C6A7F6B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margin">
              <wp14:pctWidth>0</wp14:pctWidth>
            </wp14:sizeRelH>
            <wp14:sizeRelV relativeFrom="margin">
              <wp14:pctHeight>0</wp14:pctHeight>
            </wp14:sizeRelV>
          </wp:anchor>
        </w:drawing>
      </w:r>
    </w:p>
    <w:p w14:paraId="6600A256" w14:textId="54D54C9B" w:rsidR="00292EAA" w:rsidRPr="00292EAA" w:rsidRDefault="00292EAA" w:rsidP="00292EAA">
      <w:pPr>
        <w:spacing w:after="0" w:line="240" w:lineRule="auto"/>
        <w:ind w:firstLine="567"/>
        <w:jc w:val="both"/>
        <w:rPr>
          <w:rFonts w:asciiTheme="majorHAnsi" w:hAnsiTheme="majorHAnsi" w:cstheme="majorHAnsi"/>
          <w:b/>
          <w:sz w:val="20"/>
          <w:szCs w:val="20"/>
        </w:rPr>
      </w:pPr>
      <w:r w:rsidRPr="00292EAA">
        <w:rPr>
          <w:rFonts w:asciiTheme="majorHAnsi" w:hAnsiTheme="majorHAnsi" w:cstheme="majorHAnsi"/>
          <w:b/>
          <w:sz w:val="20"/>
          <w:szCs w:val="20"/>
        </w:rPr>
        <w:t>PG atstovų, partnerių ir steigėjo vertinimas</w:t>
      </w:r>
      <w:r w:rsidR="00F56623">
        <w:rPr>
          <w:rFonts w:asciiTheme="majorHAnsi" w:hAnsiTheme="majorHAnsi" w:cstheme="majorHAnsi"/>
          <w:b/>
          <w:sz w:val="20"/>
          <w:szCs w:val="20"/>
        </w:rPr>
        <w:t>:</w:t>
      </w:r>
    </w:p>
    <w:p w14:paraId="4160BA86" w14:textId="0BD86065" w:rsidR="00292EAA" w:rsidRPr="00292EAA" w:rsidRDefault="00292EAA" w:rsidP="00292EAA">
      <w:pPr>
        <w:spacing w:after="0" w:line="240" w:lineRule="auto"/>
        <w:ind w:firstLine="567"/>
        <w:jc w:val="both"/>
        <w:rPr>
          <w:rFonts w:asciiTheme="majorHAnsi" w:hAnsiTheme="majorHAnsi" w:cstheme="majorHAnsi"/>
          <w:sz w:val="20"/>
          <w:szCs w:val="20"/>
        </w:rPr>
      </w:pPr>
      <w:r w:rsidRPr="00292EAA">
        <w:rPr>
          <w:rFonts w:asciiTheme="majorHAnsi" w:hAnsiTheme="majorHAnsi" w:cstheme="majorHAnsi"/>
          <w:sz w:val="20"/>
          <w:szCs w:val="20"/>
        </w:rPr>
        <w:t xml:space="preserve">2024 metų rugsėjį vykdytoje anketinėje apklausoje buvo koncentruojamasi į veiklos rezultatų suprantamumą PG atstovams ir kitoms suinteresuotoms šalims. Buvo apklausti 56 PG atstovai 6 Įstaigos partneriai bei steigėjas. Informacijos suprantamumą </w:t>
      </w:r>
      <w:r w:rsidRPr="00292EAA">
        <w:rPr>
          <w:rFonts w:asciiTheme="majorHAnsi" w:hAnsiTheme="majorHAnsi" w:cstheme="majorHAnsi"/>
          <w:i/>
          <w:sz w:val="20"/>
          <w:szCs w:val="20"/>
        </w:rPr>
        <w:t>labai gerai</w:t>
      </w:r>
      <w:r w:rsidRPr="00292EAA">
        <w:rPr>
          <w:rFonts w:asciiTheme="majorHAnsi" w:hAnsiTheme="majorHAnsi" w:cstheme="majorHAnsi"/>
          <w:sz w:val="20"/>
          <w:szCs w:val="20"/>
        </w:rPr>
        <w:t xml:space="preserve"> vertino 61% apklausoje dalyvavusių PG atstovų, 100% visi Įstaigos partneriai ir 100% Įstaigos steigėjas, Vilniaus miesto savivaldybė. Tuo tarpu, </w:t>
      </w:r>
      <w:r w:rsidRPr="00292EAA">
        <w:rPr>
          <w:rFonts w:asciiTheme="majorHAnsi" w:hAnsiTheme="majorHAnsi" w:cstheme="majorHAnsi"/>
          <w:i/>
          <w:sz w:val="20"/>
          <w:szCs w:val="20"/>
        </w:rPr>
        <w:t>gerai</w:t>
      </w:r>
      <w:r w:rsidRPr="00292EAA">
        <w:rPr>
          <w:rFonts w:asciiTheme="majorHAnsi" w:hAnsiTheme="majorHAnsi" w:cstheme="majorHAnsi"/>
          <w:sz w:val="20"/>
          <w:szCs w:val="20"/>
        </w:rPr>
        <w:t xml:space="preserve"> vertino 35% PG atstovų.</w:t>
      </w:r>
      <w:r w:rsidRPr="00292EAA">
        <w:rPr>
          <w:rFonts w:asciiTheme="majorHAnsi" w:hAnsiTheme="majorHAnsi" w:cstheme="majorHAnsi"/>
          <w:i/>
          <w:sz w:val="20"/>
          <w:szCs w:val="20"/>
        </w:rPr>
        <w:t xml:space="preserve"> Blogai</w:t>
      </w:r>
      <w:r w:rsidRPr="00292EAA">
        <w:rPr>
          <w:rFonts w:asciiTheme="majorHAnsi" w:hAnsiTheme="majorHAnsi" w:cstheme="majorHAnsi"/>
          <w:sz w:val="20"/>
          <w:szCs w:val="20"/>
        </w:rPr>
        <w:t xml:space="preserve"> vertinančių informacijos suprantamumą nebuvo.</w:t>
      </w:r>
    </w:p>
    <w:p w14:paraId="36E07521" w14:textId="77777777" w:rsidR="00292EAA" w:rsidRPr="00292EAA" w:rsidRDefault="00292EAA" w:rsidP="00292EAA">
      <w:pPr>
        <w:spacing w:after="0" w:line="240" w:lineRule="auto"/>
        <w:ind w:firstLine="567"/>
        <w:jc w:val="both"/>
        <w:rPr>
          <w:rFonts w:asciiTheme="majorHAnsi" w:hAnsiTheme="majorHAnsi" w:cstheme="majorHAnsi"/>
          <w:sz w:val="20"/>
          <w:szCs w:val="20"/>
        </w:rPr>
      </w:pPr>
      <w:r w:rsidRPr="00292EAA">
        <w:rPr>
          <w:rFonts w:asciiTheme="majorHAnsi" w:hAnsiTheme="majorHAnsi" w:cstheme="majorHAnsi"/>
          <w:sz w:val="20"/>
          <w:szCs w:val="20"/>
        </w:rPr>
        <w:t xml:space="preserve">Įstaigos steigėjas, Vilniaus miesto savivaldybė. Tuo tarpu, </w:t>
      </w:r>
      <w:r w:rsidRPr="00292EAA">
        <w:rPr>
          <w:rFonts w:asciiTheme="majorHAnsi" w:hAnsiTheme="majorHAnsi" w:cstheme="majorHAnsi"/>
          <w:i/>
          <w:sz w:val="20"/>
          <w:szCs w:val="20"/>
        </w:rPr>
        <w:t>gerai</w:t>
      </w:r>
      <w:r w:rsidRPr="00292EAA">
        <w:rPr>
          <w:rFonts w:asciiTheme="majorHAnsi" w:hAnsiTheme="majorHAnsi" w:cstheme="majorHAnsi"/>
          <w:sz w:val="20"/>
          <w:szCs w:val="20"/>
        </w:rPr>
        <w:t xml:space="preserve"> vertino 35% PG atstovų.</w:t>
      </w:r>
      <w:r w:rsidRPr="00292EAA">
        <w:rPr>
          <w:rFonts w:asciiTheme="majorHAnsi" w:hAnsiTheme="majorHAnsi" w:cstheme="majorHAnsi"/>
          <w:i/>
          <w:sz w:val="20"/>
          <w:szCs w:val="20"/>
        </w:rPr>
        <w:t xml:space="preserve"> Blogai</w:t>
      </w:r>
      <w:r w:rsidRPr="00292EAA">
        <w:rPr>
          <w:rFonts w:asciiTheme="majorHAnsi" w:hAnsiTheme="majorHAnsi" w:cstheme="majorHAnsi"/>
          <w:sz w:val="20"/>
          <w:szCs w:val="20"/>
        </w:rPr>
        <w:t xml:space="preserve"> vertinančių informacijos suprantamumą nebuvo.</w:t>
      </w:r>
    </w:p>
    <w:p w14:paraId="5BFA53A5" w14:textId="77777777" w:rsidR="00292EAA" w:rsidRPr="00292EAA" w:rsidRDefault="00292EAA" w:rsidP="00292EAA">
      <w:pPr>
        <w:spacing w:after="0" w:line="240" w:lineRule="auto"/>
        <w:ind w:firstLine="567"/>
        <w:jc w:val="both"/>
        <w:rPr>
          <w:rFonts w:asciiTheme="majorHAnsi" w:hAnsiTheme="majorHAnsi" w:cstheme="majorHAnsi"/>
          <w:sz w:val="20"/>
          <w:szCs w:val="20"/>
        </w:rPr>
      </w:pPr>
      <w:r w:rsidRPr="00292EAA">
        <w:rPr>
          <w:rFonts w:asciiTheme="majorHAnsi" w:hAnsiTheme="majorHAnsi" w:cstheme="majorHAnsi"/>
          <w:noProof/>
          <w:sz w:val="20"/>
          <w:szCs w:val="20"/>
          <w:lang w:val="en-US"/>
        </w:rPr>
        <mc:AlternateContent>
          <mc:Choice Requires="wps">
            <w:drawing>
              <wp:anchor distT="0" distB="0" distL="114300" distR="114300" simplePos="0" relativeHeight="251681792" behindDoc="0" locked="0" layoutInCell="1" allowOverlap="1" wp14:anchorId="1A2F2741" wp14:editId="1E019606">
                <wp:simplePos x="0" y="0"/>
                <wp:positionH relativeFrom="rightMargin">
                  <wp:align>left</wp:align>
                </wp:positionH>
                <wp:positionV relativeFrom="paragraph">
                  <wp:posOffset>2457450</wp:posOffset>
                </wp:positionV>
                <wp:extent cx="600075" cy="257175"/>
                <wp:effectExtent l="0" t="0" r="9525" b="9525"/>
                <wp:wrapSquare wrapText="bothSides"/>
                <wp:docPr id="24" name="Text Box 8"/>
                <wp:cNvGraphicFramePr/>
                <a:graphic xmlns:a="http://schemas.openxmlformats.org/drawingml/2006/main">
                  <a:graphicData uri="http://schemas.microsoft.com/office/word/2010/wordprocessingShape">
                    <wps:wsp>
                      <wps:cNvSpPr txBox="1"/>
                      <wps:spPr>
                        <a:xfrm>
                          <a:off x="0" y="0"/>
                          <a:ext cx="600075" cy="257175"/>
                        </a:xfrm>
                        <a:prstGeom prst="rect">
                          <a:avLst/>
                        </a:prstGeom>
                        <a:solidFill>
                          <a:prstClr val="white"/>
                        </a:solidFill>
                        <a:ln>
                          <a:noFill/>
                        </a:ln>
                      </wps:spPr>
                      <wps:txbx>
                        <w:txbxContent>
                          <w:p w14:paraId="436B55E2" w14:textId="77777777" w:rsidR="00292EAA" w:rsidRPr="00B85B3F" w:rsidRDefault="00292EAA" w:rsidP="00292EAA">
                            <w:pPr>
                              <w:pStyle w:val="Antrat"/>
                              <w:rPr>
                                <w:rFonts w:ascii="Times New Roman" w:hAnsi="Times New Roman" w:cs="Times New Roman"/>
                                <w:i w:val="0"/>
                                <w:color w:val="000000" w:themeColor="text1"/>
                                <w:sz w:val="28"/>
                                <w:lang w:val="lt-LT"/>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2F2741" id="_x0000_t202" coordsize="21600,21600" o:spt="202" path="m,l,21600r21600,l21600,xe">
                <v:stroke joinstyle="miter"/>
                <v:path gradientshapeok="t" o:connecttype="rect"/>
              </v:shapetype>
              <v:shape id="Text Box 8" o:spid="_x0000_s1026" type="#_x0000_t202" style="position:absolute;left:0;text-align:left;margin-left:0;margin-top:193.5pt;width:47.25pt;height:20.25pt;z-index:251681792;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C8ILwIAAGcEAAAOAAAAZHJzL2Uyb0RvYy54bWysVE1v2zAMvQ/YfxB0X+wE6weCOEWWIsOA&#10;oC2QDD0rshQLkEWNUmJ3v36UP9Ku22nYRaZIitJ7j/Tirq0tOysMBlzBp5OcM+UklMYdC/59v/l0&#10;y1mIwpXCglMFf1GB3y0/flg0fq5mUIEtFTIq4sK88QWvYvTzLAuyUrUIE/DKUVAD1iLSFo9ZiaKh&#10;6rXNZnl+nTWApUeQKgTy3vdBvuzqa61kfNQ6qMhsweltsVuxWw9pzZYLMT+i8JWRwzPEP7yiFsbR&#10;pZdS9yIKdkLzR6naSIQAOk4k1BlobaTqMBCaaf4Oza4SXnVYiJzgLzSF/1dWPpyfkJmy4LPPnDlR&#10;k0Z71Ub2BVp2m+hpfJhT1s5TXmzJTTKP/kDOhLrVWKcv4WEUJ6JfLuSmYpKc13me31xxJik0u7qZ&#10;kk3Vs9fDHkP8qqBmySg4knYdpeK8DbFPHVPSXQGsKTfG2rRJgbVFdhakc1OZqIbiv2VZl3IdpFN9&#10;weTJEsIeSbJie2h7QkaUByhfCDxC3z3By42h+7YixCeB1C6El0YgPtKiLTQFh8HirAL8+Td/yicV&#10;KcpZQ+1X8PDjJFBxZr850jf16mjgaBxGw53qNRDSKQ2Xl51JBzDa0dQI9TNNxirdQiHhJN1V8Dia&#10;69gPAU2WVKtVl0Qd6UXcup2XqfTI6759FugHVSLJ+QBjY4r5O3H63J7l1SmCNp1yideexYFu6uZO&#10;+2Hy0ri83XdZr/+H5S8AAAD//wMAUEsDBBQABgAIAAAAIQBSUUei3gAAAAcBAAAPAAAAZHJzL2Rv&#10;d25yZXYueG1sTI/NTsMwEITvSLyDtUhcEHUI/SPEqaClNzi0VD278ZJExOvIdpr07VlOcNvRjGa+&#10;zVejbcUZfWgcKXiYJCCQSmcaqhQcPrf3SxAhajK6dYQKLhhgVVxf5TozbqAdnvexElxCIdMK6hi7&#10;TMpQ1mh1mLgOib0v562OLH0ljdcDl9tWpkkyl1Y3xAu17nBdY/m9762C+cb3w47Wd5vD27v+6Kr0&#10;+Ho5KnV7M748g4g4xr8w/OIzOhTMdHI9mSBaBfxIVPC4XPDB9tN0BuKkYJouZiCLXP7nL34AAAD/&#10;/wMAUEsBAi0AFAAGAAgAAAAhALaDOJL+AAAA4QEAABMAAAAAAAAAAAAAAAAAAAAAAFtDb250ZW50&#10;X1R5cGVzXS54bWxQSwECLQAUAAYACAAAACEAOP0h/9YAAACUAQAACwAAAAAAAAAAAAAAAAAvAQAA&#10;X3JlbHMvLnJlbHNQSwECLQAUAAYACAAAACEAF/AvCC8CAABnBAAADgAAAAAAAAAAAAAAAAAuAgAA&#10;ZHJzL2Uyb0RvYy54bWxQSwECLQAUAAYACAAAACEAUlFHot4AAAAHAQAADwAAAAAAAAAAAAAAAACJ&#10;BAAAZHJzL2Rvd25yZXYueG1sUEsFBgAAAAAEAAQA8wAAAJQFAAAAAA==&#10;" stroked="f">
                <v:textbox inset="0,0,0,0">
                  <w:txbxContent>
                    <w:p w14:paraId="436B55E2" w14:textId="77777777" w:rsidR="00292EAA" w:rsidRPr="00B85B3F" w:rsidRDefault="00292EAA" w:rsidP="00292EAA">
                      <w:pPr>
                        <w:pStyle w:val="Antrat"/>
                        <w:rPr>
                          <w:rFonts w:ascii="Times New Roman" w:hAnsi="Times New Roman" w:cs="Times New Roman"/>
                          <w:i w:val="0"/>
                          <w:color w:val="000000" w:themeColor="text1"/>
                          <w:sz w:val="28"/>
                          <w:lang w:val="lt-LT"/>
                        </w:rPr>
                      </w:pPr>
                    </w:p>
                  </w:txbxContent>
                </v:textbox>
                <w10:wrap type="square" anchorx="margin"/>
              </v:shape>
            </w:pict>
          </mc:Fallback>
        </mc:AlternateContent>
      </w:r>
      <w:r w:rsidRPr="00292EAA">
        <w:rPr>
          <w:rFonts w:asciiTheme="majorHAnsi" w:hAnsiTheme="majorHAnsi" w:cstheme="majorHAnsi"/>
          <w:color w:val="000000" w:themeColor="text1"/>
          <w:sz w:val="20"/>
          <w:szCs w:val="20"/>
        </w:rPr>
        <w:t xml:space="preserve">Siekiant palaikyti bei gerinti Įstaigos paslaugų kokybę, atsižvelgiant į Įstaigos veiklos rezultatus už 2024 m., tikslinga talpinti veiklos rezultatus bei kitą aktualią informaciją į naujai sukurtą Įstaigos </w:t>
      </w:r>
      <w:r w:rsidRPr="00292EAA">
        <w:rPr>
          <w:rFonts w:asciiTheme="majorHAnsi" w:hAnsiTheme="majorHAnsi" w:cstheme="majorHAnsi"/>
          <w:i/>
          <w:color w:val="000000" w:themeColor="text1"/>
          <w:sz w:val="20"/>
          <w:szCs w:val="20"/>
        </w:rPr>
        <w:t>Youtube</w:t>
      </w:r>
      <w:r w:rsidRPr="00292EAA">
        <w:rPr>
          <w:rFonts w:asciiTheme="majorHAnsi" w:hAnsiTheme="majorHAnsi" w:cstheme="majorHAnsi"/>
          <w:color w:val="000000" w:themeColor="text1"/>
          <w:sz w:val="20"/>
          <w:szCs w:val="20"/>
        </w:rPr>
        <w:t xml:space="preserve"> kanalą ir supažindinti partnerius bei visas kitas suinteresuotas šalis su jo veikla.</w:t>
      </w:r>
    </w:p>
    <w:p w14:paraId="2D67C6EC" w14:textId="77777777" w:rsidR="00292EAA" w:rsidRPr="00292EAA" w:rsidRDefault="00292EAA" w:rsidP="00292EAA">
      <w:pPr>
        <w:spacing w:after="0" w:line="360" w:lineRule="auto"/>
        <w:contextualSpacing/>
        <w:jc w:val="both"/>
        <w:rPr>
          <w:rFonts w:asciiTheme="majorHAnsi" w:hAnsiTheme="majorHAnsi" w:cstheme="majorHAnsi"/>
          <w:color w:val="000000" w:themeColor="text1"/>
          <w:sz w:val="20"/>
          <w:szCs w:val="20"/>
          <w:lang w:val="en-US"/>
        </w:rPr>
      </w:pPr>
    </w:p>
    <w:p w14:paraId="33305344" w14:textId="77777777" w:rsidR="00292EAA" w:rsidRPr="00292EAA" w:rsidRDefault="00292EAA" w:rsidP="00292EAA">
      <w:pPr>
        <w:spacing w:after="0" w:line="240" w:lineRule="auto"/>
        <w:ind w:right="-567" w:firstLine="851"/>
        <w:jc w:val="both"/>
        <w:rPr>
          <w:rFonts w:asciiTheme="majorHAnsi" w:hAnsiTheme="majorHAnsi" w:cstheme="majorHAnsi"/>
          <w:sz w:val="20"/>
          <w:szCs w:val="20"/>
          <w:lang w:eastAsia="lt-LT"/>
        </w:rPr>
      </w:pPr>
    </w:p>
    <w:p w14:paraId="3E9A3F61" w14:textId="77777777" w:rsidR="00292EAA" w:rsidRPr="00292EAA" w:rsidRDefault="00292EAA" w:rsidP="00292EAA">
      <w:pPr>
        <w:spacing w:after="0" w:line="240" w:lineRule="auto"/>
        <w:ind w:firstLine="567"/>
        <w:jc w:val="both"/>
        <w:rPr>
          <w:rFonts w:ascii="Calibri Light" w:eastAsia="SimSun" w:hAnsi="Calibri Light" w:cs="Calibri Light"/>
          <w:sz w:val="20"/>
          <w:szCs w:val="20"/>
        </w:rPr>
      </w:pPr>
    </w:p>
    <w:p w14:paraId="7E31A33B" w14:textId="7FC14955" w:rsidR="00292EAA" w:rsidRDefault="00292EAA" w:rsidP="00292EAA">
      <w:pPr>
        <w:jc w:val="center"/>
        <w:rPr>
          <w:rFonts w:ascii="Times New Roman" w:hAnsi="Times New Roman" w:cs="Times New Roman"/>
          <w:b/>
          <w:sz w:val="24"/>
          <w:szCs w:val="24"/>
        </w:rPr>
      </w:pPr>
    </w:p>
    <w:p w14:paraId="352732CC" w14:textId="513865C5" w:rsidR="00FC37B1" w:rsidRDefault="00FC37B1" w:rsidP="00292EAA">
      <w:pPr>
        <w:jc w:val="center"/>
        <w:rPr>
          <w:rFonts w:ascii="Times New Roman" w:hAnsi="Times New Roman" w:cs="Times New Roman"/>
          <w:b/>
          <w:sz w:val="24"/>
          <w:szCs w:val="24"/>
        </w:rPr>
      </w:pPr>
    </w:p>
    <w:p w14:paraId="7BA514E6" w14:textId="071FAFB3" w:rsidR="00FC37B1" w:rsidRDefault="00FC37B1" w:rsidP="00292EAA">
      <w:pPr>
        <w:jc w:val="center"/>
        <w:rPr>
          <w:rFonts w:ascii="Times New Roman" w:hAnsi="Times New Roman" w:cs="Times New Roman"/>
          <w:b/>
          <w:sz w:val="24"/>
          <w:szCs w:val="24"/>
        </w:rPr>
      </w:pPr>
    </w:p>
    <w:p w14:paraId="65A4081E" w14:textId="60D85989" w:rsidR="00FC37B1" w:rsidRDefault="00FC37B1" w:rsidP="00292EAA">
      <w:pPr>
        <w:jc w:val="center"/>
        <w:rPr>
          <w:rFonts w:ascii="Times New Roman" w:hAnsi="Times New Roman" w:cs="Times New Roman"/>
          <w:b/>
          <w:sz w:val="24"/>
          <w:szCs w:val="24"/>
        </w:rPr>
      </w:pPr>
    </w:p>
    <w:p w14:paraId="66EFD986" w14:textId="1A78D415" w:rsidR="00FC37B1" w:rsidRDefault="00FC37B1" w:rsidP="00292EAA">
      <w:pPr>
        <w:jc w:val="center"/>
        <w:rPr>
          <w:rFonts w:ascii="Times New Roman" w:hAnsi="Times New Roman" w:cs="Times New Roman"/>
          <w:b/>
          <w:sz w:val="24"/>
          <w:szCs w:val="24"/>
        </w:rPr>
      </w:pPr>
    </w:p>
    <w:p w14:paraId="286CDA69" w14:textId="7303AB22" w:rsidR="00FC37B1" w:rsidRDefault="00FC37B1" w:rsidP="00292EAA">
      <w:pPr>
        <w:jc w:val="center"/>
        <w:rPr>
          <w:rFonts w:ascii="Times New Roman" w:hAnsi="Times New Roman" w:cs="Times New Roman"/>
          <w:b/>
          <w:sz w:val="24"/>
          <w:szCs w:val="24"/>
        </w:rPr>
      </w:pPr>
    </w:p>
    <w:p w14:paraId="6EC93202" w14:textId="37905DE7" w:rsidR="00FC37B1" w:rsidRDefault="00FC37B1" w:rsidP="00292EAA">
      <w:pPr>
        <w:jc w:val="center"/>
        <w:rPr>
          <w:rFonts w:ascii="Times New Roman" w:hAnsi="Times New Roman" w:cs="Times New Roman"/>
          <w:b/>
          <w:sz w:val="24"/>
          <w:szCs w:val="24"/>
        </w:rPr>
      </w:pPr>
    </w:p>
    <w:p w14:paraId="386F4567" w14:textId="1FC65C22" w:rsidR="00FC37B1" w:rsidRDefault="00FC37B1" w:rsidP="00FC37B1">
      <w:pPr>
        <w:rPr>
          <w:rFonts w:ascii="Times New Roman" w:hAnsi="Times New Roman" w:cs="Times New Roman"/>
          <w:b/>
          <w:sz w:val="24"/>
          <w:szCs w:val="24"/>
        </w:rPr>
      </w:pPr>
    </w:p>
    <w:p w14:paraId="17C9446B" w14:textId="1F527BF7" w:rsidR="00FC37B1" w:rsidRDefault="00FC37B1" w:rsidP="00FC37B1">
      <w:pPr>
        <w:rPr>
          <w:rFonts w:ascii="Times New Roman" w:hAnsi="Times New Roman" w:cs="Times New Roman"/>
          <w:b/>
          <w:sz w:val="24"/>
          <w:szCs w:val="24"/>
        </w:rPr>
      </w:pPr>
    </w:p>
    <w:p w14:paraId="3A6A63F6" w14:textId="1E8994CF" w:rsidR="00FC37B1" w:rsidRDefault="00FC37B1" w:rsidP="00FC37B1">
      <w:pPr>
        <w:rPr>
          <w:rFonts w:ascii="Times New Roman" w:hAnsi="Times New Roman" w:cs="Times New Roman"/>
          <w:b/>
          <w:sz w:val="24"/>
          <w:szCs w:val="24"/>
        </w:rPr>
      </w:pPr>
    </w:p>
    <w:p w14:paraId="1F1E84C5" w14:textId="70D83C8D" w:rsidR="00FC37B1" w:rsidRDefault="00FC37B1" w:rsidP="00FC37B1">
      <w:pPr>
        <w:rPr>
          <w:rFonts w:ascii="Times New Roman" w:hAnsi="Times New Roman" w:cs="Times New Roman"/>
          <w:b/>
          <w:sz w:val="24"/>
          <w:szCs w:val="24"/>
        </w:rPr>
      </w:pPr>
    </w:p>
    <w:p w14:paraId="3297D5E6" w14:textId="05F5A8F5" w:rsidR="00FC37B1" w:rsidRDefault="00FC37B1" w:rsidP="00FC37B1">
      <w:pPr>
        <w:rPr>
          <w:rFonts w:ascii="Times New Roman" w:hAnsi="Times New Roman" w:cs="Times New Roman"/>
          <w:b/>
          <w:sz w:val="24"/>
          <w:szCs w:val="24"/>
        </w:rPr>
      </w:pPr>
    </w:p>
    <w:p w14:paraId="3C5F6EA9" w14:textId="342510F4" w:rsidR="00FC37B1" w:rsidRDefault="00FC37B1" w:rsidP="00FC37B1">
      <w:pPr>
        <w:rPr>
          <w:rFonts w:ascii="Times New Roman" w:hAnsi="Times New Roman" w:cs="Times New Roman"/>
          <w:b/>
          <w:sz w:val="24"/>
          <w:szCs w:val="24"/>
        </w:rPr>
      </w:pPr>
    </w:p>
    <w:p w14:paraId="0D082607" w14:textId="0CA795AA" w:rsidR="00FC37B1" w:rsidRDefault="00FC37B1" w:rsidP="00FC37B1">
      <w:pPr>
        <w:rPr>
          <w:rFonts w:ascii="Times New Roman" w:hAnsi="Times New Roman" w:cs="Times New Roman"/>
          <w:b/>
          <w:sz w:val="24"/>
          <w:szCs w:val="24"/>
        </w:rPr>
      </w:pPr>
    </w:p>
    <w:p w14:paraId="14255A4D" w14:textId="7805F0A5" w:rsidR="00FC37B1" w:rsidRDefault="00FC37B1" w:rsidP="00FC37B1">
      <w:pPr>
        <w:rPr>
          <w:rFonts w:ascii="Times New Roman" w:hAnsi="Times New Roman" w:cs="Times New Roman"/>
          <w:b/>
          <w:sz w:val="24"/>
          <w:szCs w:val="24"/>
        </w:rPr>
      </w:pPr>
    </w:p>
    <w:p w14:paraId="34E19BE3" w14:textId="77777777" w:rsidR="00FC37B1" w:rsidRPr="00FC37B1" w:rsidRDefault="00FC37B1" w:rsidP="00FC37B1">
      <w:pPr>
        <w:spacing w:line="256" w:lineRule="auto"/>
        <w:jc w:val="center"/>
        <w:rPr>
          <w:rFonts w:asciiTheme="majorHAnsi" w:eastAsia="Calibri" w:hAnsiTheme="majorHAnsi" w:cstheme="majorHAnsi"/>
          <w:b/>
          <w:sz w:val="24"/>
          <w:szCs w:val="24"/>
        </w:rPr>
      </w:pPr>
      <w:r w:rsidRPr="00FC37B1">
        <w:rPr>
          <w:rFonts w:asciiTheme="majorHAnsi" w:eastAsia="Calibri" w:hAnsiTheme="majorHAnsi" w:cstheme="majorHAnsi"/>
          <w:b/>
          <w:sz w:val="24"/>
          <w:szCs w:val="24"/>
        </w:rPr>
        <w:lastRenderedPageBreak/>
        <w:t>XII. LYGINIMOSI SU SOCIALINIŲ PASLAUGŲ TEIKĖJAIS REZULTATAI 2024 M.</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0"/>
        <w:gridCol w:w="7649"/>
      </w:tblGrid>
      <w:tr w:rsidR="00FC37B1" w:rsidRPr="00FC37B1" w14:paraId="1C9C9D7B" w14:textId="77777777" w:rsidTr="002C0ADB">
        <w:tc>
          <w:tcPr>
            <w:tcW w:w="1980" w:type="dxa"/>
            <w:vAlign w:val="center"/>
          </w:tcPr>
          <w:p w14:paraId="4E26213D" w14:textId="77777777" w:rsidR="00FC37B1" w:rsidRPr="00FC37B1" w:rsidRDefault="00FC37B1" w:rsidP="00FC37B1">
            <w:pPr>
              <w:spacing w:after="0" w:line="240" w:lineRule="auto"/>
              <w:jc w:val="both"/>
              <w:rPr>
                <w:rFonts w:asciiTheme="majorHAnsi" w:eastAsia="Calibri" w:hAnsiTheme="majorHAnsi" w:cstheme="majorHAnsi"/>
                <w:b/>
                <w:sz w:val="20"/>
                <w:szCs w:val="20"/>
              </w:rPr>
            </w:pPr>
            <w:r w:rsidRPr="00FC37B1">
              <w:rPr>
                <w:rFonts w:asciiTheme="majorHAnsi" w:eastAsia="Calibri" w:hAnsiTheme="majorHAnsi" w:cstheme="majorHAnsi"/>
                <w:b/>
                <w:iCs/>
                <w:sz w:val="20"/>
                <w:szCs w:val="20"/>
                <w:lang w:eastAsia="lt-LT"/>
              </w:rPr>
              <w:t>50 kriterijus</w:t>
            </w:r>
          </w:p>
        </w:tc>
        <w:tc>
          <w:tcPr>
            <w:tcW w:w="7649" w:type="dxa"/>
          </w:tcPr>
          <w:p w14:paraId="27D60FD5" w14:textId="77777777" w:rsidR="00FC37B1" w:rsidRPr="00FC37B1" w:rsidRDefault="00FC37B1" w:rsidP="00FC37B1">
            <w:pPr>
              <w:spacing w:after="0" w:line="240" w:lineRule="auto"/>
              <w:jc w:val="both"/>
              <w:rPr>
                <w:rFonts w:asciiTheme="majorHAnsi" w:eastAsia="Calibri" w:hAnsiTheme="majorHAnsi" w:cstheme="majorHAnsi"/>
                <w:iCs/>
                <w:sz w:val="20"/>
                <w:szCs w:val="20"/>
                <w:lang w:eastAsia="lt-LT"/>
              </w:rPr>
            </w:pPr>
            <w:r w:rsidRPr="00FC37B1">
              <w:rPr>
                <w:rFonts w:asciiTheme="majorHAnsi" w:eastAsia="Calibri" w:hAnsiTheme="majorHAnsi" w:cstheme="majorHAnsi"/>
                <w:iCs/>
                <w:sz w:val="20"/>
                <w:szCs w:val="20"/>
                <w:lang w:eastAsia="lt-LT"/>
              </w:rPr>
              <w:t xml:space="preserve">Socialinių paslaugų teikėjas imasi gerinimo iniciatyvų lygindamas požiūrių efektyvumą, paslaugų teikimo rezultatus, veiklą ir paslaugų gavėjų gautus rezultatus. </w:t>
            </w:r>
          </w:p>
          <w:p w14:paraId="5A2A1CB8" w14:textId="77777777" w:rsidR="00FC37B1" w:rsidRPr="00FC37B1" w:rsidRDefault="00FC37B1" w:rsidP="00FC37B1">
            <w:pPr>
              <w:spacing w:after="0" w:line="240" w:lineRule="auto"/>
              <w:jc w:val="both"/>
              <w:rPr>
                <w:rFonts w:asciiTheme="majorHAnsi" w:eastAsia="Calibri" w:hAnsiTheme="majorHAnsi" w:cstheme="majorHAnsi"/>
                <w:iCs/>
                <w:sz w:val="20"/>
                <w:szCs w:val="20"/>
                <w:lang w:eastAsia="lt-LT"/>
              </w:rPr>
            </w:pPr>
          </w:p>
        </w:tc>
      </w:tr>
      <w:tr w:rsidR="00FC37B1" w:rsidRPr="00FC37B1" w14:paraId="1BD5FBFF" w14:textId="77777777" w:rsidTr="002C0ADB">
        <w:tc>
          <w:tcPr>
            <w:tcW w:w="1980" w:type="dxa"/>
            <w:vAlign w:val="center"/>
          </w:tcPr>
          <w:p w14:paraId="3F523AF8" w14:textId="77777777" w:rsidR="00FC37B1" w:rsidRPr="00FC37B1" w:rsidRDefault="00FC37B1" w:rsidP="00FC37B1">
            <w:pPr>
              <w:spacing w:after="0" w:line="240" w:lineRule="auto"/>
              <w:jc w:val="both"/>
              <w:rPr>
                <w:rFonts w:asciiTheme="majorHAnsi" w:eastAsia="Calibri" w:hAnsiTheme="majorHAnsi" w:cstheme="majorHAnsi"/>
                <w:b/>
                <w:bCs/>
                <w:sz w:val="20"/>
                <w:szCs w:val="20"/>
              </w:rPr>
            </w:pPr>
            <w:r w:rsidRPr="00FC37B1">
              <w:rPr>
                <w:rFonts w:asciiTheme="majorHAnsi" w:eastAsia="Calibri" w:hAnsiTheme="majorHAnsi" w:cstheme="majorHAnsi"/>
                <w:b/>
                <w:bCs/>
                <w:sz w:val="20"/>
                <w:szCs w:val="20"/>
              </w:rPr>
              <w:t>Rodiklis</w:t>
            </w:r>
          </w:p>
        </w:tc>
        <w:tc>
          <w:tcPr>
            <w:tcW w:w="7649" w:type="dxa"/>
          </w:tcPr>
          <w:p w14:paraId="50AD1A47" w14:textId="77777777" w:rsidR="00FC37B1" w:rsidRPr="00FC37B1" w:rsidRDefault="00FC37B1" w:rsidP="00FC37B1">
            <w:pPr>
              <w:spacing w:after="0" w:line="240" w:lineRule="auto"/>
              <w:jc w:val="both"/>
              <w:rPr>
                <w:rFonts w:asciiTheme="majorHAnsi" w:eastAsia="Calibri" w:hAnsiTheme="majorHAnsi" w:cstheme="majorHAnsi"/>
                <w:b/>
                <w:sz w:val="20"/>
                <w:szCs w:val="20"/>
              </w:rPr>
            </w:pPr>
            <w:r w:rsidRPr="00FC37B1">
              <w:rPr>
                <w:rFonts w:asciiTheme="majorHAnsi" w:eastAsia="Calibri" w:hAnsiTheme="majorHAnsi" w:cstheme="majorHAnsi"/>
                <w:b/>
                <w:sz w:val="20"/>
                <w:szCs w:val="20"/>
              </w:rPr>
              <w:t>Įstaigos ir kitų, panašias socialinės globos paslaugas teikiančių organizacijų, įgyvendinamų veiklos sričių̨ palyginimas.</w:t>
            </w:r>
          </w:p>
        </w:tc>
      </w:tr>
    </w:tbl>
    <w:p w14:paraId="7B31362E" w14:textId="77777777" w:rsidR="00FC37B1" w:rsidRPr="00FC37B1" w:rsidRDefault="00FC37B1" w:rsidP="00FC37B1">
      <w:pPr>
        <w:spacing w:after="0" w:line="240" w:lineRule="auto"/>
        <w:jc w:val="both"/>
        <w:rPr>
          <w:rFonts w:ascii="Times New Roman" w:eastAsia="Times New Roman" w:hAnsi="Times New Roman" w:cs="Times New Roman"/>
          <w:lang w:eastAsia="en-GB"/>
        </w:rPr>
      </w:pPr>
    </w:p>
    <w:p w14:paraId="29F88D08" w14:textId="77777777" w:rsidR="00FC37B1" w:rsidRPr="00FC37B1" w:rsidRDefault="00FC37B1" w:rsidP="00FC37B1">
      <w:pPr>
        <w:spacing w:after="0" w:line="240" w:lineRule="auto"/>
        <w:ind w:firstLine="851"/>
        <w:jc w:val="both"/>
        <w:rPr>
          <w:rFonts w:asciiTheme="majorHAnsi" w:eastAsia="Times New Roman" w:hAnsiTheme="majorHAnsi" w:cstheme="majorHAnsi"/>
          <w:color w:val="000000" w:themeColor="text1"/>
          <w:sz w:val="20"/>
          <w:szCs w:val="20"/>
          <w:lang w:eastAsia="en-GB"/>
        </w:rPr>
      </w:pPr>
      <w:r w:rsidRPr="00FC37B1">
        <w:rPr>
          <w:rFonts w:asciiTheme="majorHAnsi" w:eastAsia="Times New Roman" w:hAnsiTheme="majorHAnsi" w:cstheme="majorHAnsi"/>
          <w:sz w:val="20"/>
          <w:szCs w:val="20"/>
          <w:lang w:eastAsia="en-GB"/>
        </w:rPr>
        <w:t xml:space="preserve">2024 m. rugsėjo mėnesį buvo atlikta veiklos sričių pasilyginimo su Kauno socialinės globos centru </w:t>
      </w:r>
      <w:r w:rsidRPr="00FC37B1">
        <w:rPr>
          <w:rFonts w:asciiTheme="majorHAnsi" w:eastAsia="Times New Roman" w:hAnsiTheme="majorHAnsi" w:cstheme="majorHAnsi"/>
          <w:color w:val="000000" w:themeColor="text1"/>
          <w:sz w:val="20"/>
          <w:szCs w:val="20"/>
          <w:lang w:eastAsia="en-GB"/>
        </w:rPr>
        <w:t xml:space="preserve">„Vija“, vykusio 2023 m. vasario 10 d. analizė. </w:t>
      </w:r>
    </w:p>
    <w:p w14:paraId="3F472B5F" w14:textId="77777777" w:rsidR="00FC37B1" w:rsidRPr="00FC37B1" w:rsidRDefault="00FC37B1" w:rsidP="00FC37B1">
      <w:pPr>
        <w:spacing w:after="0" w:line="240" w:lineRule="auto"/>
        <w:ind w:firstLine="851"/>
        <w:jc w:val="both"/>
        <w:rPr>
          <w:rFonts w:asciiTheme="majorHAnsi" w:eastAsia="Times New Roman" w:hAnsiTheme="majorHAnsi" w:cstheme="majorHAnsi"/>
          <w:color w:val="000000" w:themeColor="text1"/>
          <w:sz w:val="20"/>
          <w:szCs w:val="20"/>
          <w:lang w:eastAsia="en-GB"/>
        </w:rPr>
      </w:pPr>
      <w:r w:rsidRPr="00FC37B1">
        <w:rPr>
          <w:rFonts w:asciiTheme="majorHAnsi" w:eastAsia="Times New Roman" w:hAnsiTheme="majorHAnsi" w:cstheme="majorHAnsi"/>
          <w:color w:val="000000" w:themeColor="text1"/>
          <w:sz w:val="20"/>
          <w:szCs w:val="20"/>
          <w:lang w:eastAsia="en-GB"/>
        </w:rPr>
        <w:t>Pasilyginimo išvados:</w:t>
      </w:r>
    </w:p>
    <w:p w14:paraId="2857AF95" w14:textId="77777777" w:rsidR="00FC37B1" w:rsidRPr="00FC37B1" w:rsidRDefault="00FC37B1" w:rsidP="00FC37B1">
      <w:pPr>
        <w:spacing w:after="0" w:line="240" w:lineRule="auto"/>
        <w:ind w:firstLine="851"/>
        <w:jc w:val="both"/>
        <w:rPr>
          <w:rFonts w:asciiTheme="majorHAnsi" w:eastAsia="Times New Roman" w:hAnsiTheme="majorHAnsi" w:cstheme="majorHAnsi"/>
          <w:color w:val="000000" w:themeColor="text1"/>
          <w:sz w:val="20"/>
          <w:szCs w:val="20"/>
          <w:lang w:eastAsia="en-GB"/>
        </w:rPr>
      </w:pPr>
      <w:r w:rsidRPr="00FC37B1">
        <w:rPr>
          <w:rFonts w:asciiTheme="majorHAnsi" w:eastAsia="Times New Roman" w:hAnsiTheme="majorHAnsi" w:cstheme="majorHAnsi"/>
          <w:color w:val="000000" w:themeColor="text1"/>
          <w:sz w:val="20"/>
          <w:szCs w:val="20"/>
          <w:lang w:eastAsia="en-GB"/>
        </w:rPr>
        <w:t>„Šeimos slėnis“ užtikrina platesnį paslaugų spektrą lyginant su „Vija“. Abi Įstaigos teikia paslaugas negalią turintiems vaikams/. „Vija“ teikia paslaugas ir suaugusiems asmenims su negalia. Įstaigos naudoja PG įgalinimo ir įtraukimo priemones. „Šeimos slėnis“ turi platesnį tiesiogiai PG paslaugas teikiantį personalo spektrą. „Vija“ teikia kompiuterinio raštingumo PG paslaugą. Įstaigos užtikrina darbuotojams kvalifikacijos tobulinimo galimybes, sudaro metinius kvalifikacijos tobulinimo planus, atsižvelgiant į darbuotojų poreikius; darbuotojai dalijasi įgytomis žiniomis su kolegomis. Įstaigos užtikrina panašias darbuotojų motyvavimo priemones. „Vija“ vykdo visuotinius susirinkimus, organizuoja kolektyvo ekskursijas ir kuria tradicijas. Įstaigose vykdoma darbo tarybų veikla. Įstaigos užtikrina aplinkos pritaikymą PG. „Šeimos slėnis“ taiko platesnį spektrą terapinių priemonių ir metodų, užtikrinančių vaikų raidos vystymąsi. „Vija“ skatina PG integraciją į visuomenę per darbo rinką, kai „Šeimos slėnis“ tokios patirties dar neturi.  Įstaigos naudojasi elektroninėmis platformomis informacijai teikti. Įstaigos užtikrina komunikacines priemones siekiant sklandaus PG   tėvų/ artimųjų/ globėjų bendradarbiavimo su Įstaiga. „Vija“ taiko aktyvų PG atstovų įtraukimą ir dalyvavimą įstaigos veiklose. Įstaigos dalyvauja EQUASS projekte, siekia išplėsti paslaugas.</w:t>
      </w:r>
    </w:p>
    <w:p w14:paraId="46F7B953" w14:textId="77777777" w:rsidR="00FC37B1" w:rsidRPr="00FC37B1" w:rsidRDefault="00FC37B1" w:rsidP="00FC37B1">
      <w:pPr>
        <w:spacing w:after="0" w:line="240" w:lineRule="auto"/>
        <w:ind w:firstLine="540"/>
        <w:jc w:val="both"/>
        <w:rPr>
          <w:rFonts w:asciiTheme="majorHAnsi" w:eastAsia="Times New Roman" w:hAnsiTheme="majorHAnsi" w:cstheme="majorHAnsi"/>
          <w:sz w:val="20"/>
          <w:szCs w:val="20"/>
          <w:shd w:val="clear" w:color="auto" w:fill="FFFFFF"/>
          <w:lang w:eastAsia="en-GB"/>
        </w:rPr>
      </w:pPr>
      <w:r w:rsidRPr="00FC37B1">
        <w:rPr>
          <w:rFonts w:asciiTheme="majorHAnsi" w:eastAsia="Times New Roman" w:hAnsiTheme="majorHAnsi" w:cstheme="majorHAnsi"/>
          <w:color w:val="000000" w:themeColor="text1"/>
          <w:sz w:val="20"/>
          <w:szCs w:val="20"/>
          <w:lang w:eastAsia="en-GB"/>
        </w:rPr>
        <w:t xml:space="preserve">Analizės metu </w:t>
      </w:r>
      <w:r w:rsidRPr="00FC37B1">
        <w:rPr>
          <w:rFonts w:asciiTheme="majorHAnsi" w:eastAsia="Times New Roman" w:hAnsiTheme="majorHAnsi" w:cstheme="majorHAnsi"/>
          <w:sz w:val="20"/>
          <w:szCs w:val="20"/>
          <w:shd w:val="clear" w:color="auto" w:fill="FFFFFF"/>
          <w:lang w:eastAsia="en-GB"/>
        </w:rPr>
        <w:t>nustatytos šios po pasilyginimo įgyvendintos tobulinimo priemonės:</w:t>
      </w:r>
    </w:p>
    <w:p w14:paraId="288D88F5" w14:textId="77777777" w:rsidR="00FC37B1" w:rsidRPr="00FC37B1" w:rsidRDefault="00FC37B1" w:rsidP="00FC37B1">
      <w:pPr>
        <w:numPr>
          <w:ilvl w:val="0"/>
          <w:numId w:val="6"/>
        </w:numPr>
        <w:spacing w:after="0" w:line="240" w:lineRule="auto"/>
        <w:ind w:left="0" w:firstLine="900"/>
        <w:jc w:val="both"/>
        <w:rPr>
          <w:rFonts w:asciiTheme="majorHAnsi" w:eastAsia="Times New Roman" w:hAnsiTheme="majorHAnsi" w:cstheme="majorHAnsi"/>
          <w:sz w:val="20"/>
          <w:szCs w:val="20"/>
          <w:shd w:val="clear" w:color="auto" w:fill="FFFFFF"/>
          <w:lang w:eastAsia="en-GB"/>
        </w:rPr>
      </w:pPr>
      <w:r w:rsidRPr="00FC37B1">
        <w:rPr>
          <w:rFonts w:asciiTheme="majorHAnsi" w:eastAsia="Times New Roman" w:hAnsiTheme="majorHAnsi" w:cstheme="majorHAnsi"/>
          <w:sz w:val="20"/>
          <w:szCs w:val="20"/>
          <w:shd w:val="clear" w:color="auto" w:fill="FFFFFF"/>
          <w:lang w:eastAsia="en-GB"/>
        </w:rPr>
        <w:t>nuo 2024 m. birželio mėn. Įstaiga atidarė naują padalinį, kuriame teikiamos trumpalaikės tęstinės ir laikino atokvėpio paslaugos suaugusiems asmenims su negalia nuo 18 iki 29 metų;</w:t>
      </w:r>
    </w:p>
    <w:p w14:paraId="58CBF6BE" w14:textId="77777777" w:rsidR="00FC37B1" w:rsidRPr="00FC37B1" w:rsidRDefault="00FC37B1" w:rsidP="00FC37B1">
      <w:pPr>
        <w:numPr>
          <w:ilvl w:val="0"/>
          <w:numId w:val="6"/>
        </w:numPr>
        <w:spacing w:after="0" w:line="240" w:lineRule="auto"/>
        <w:ind w:left="0" w:firstLine="900"/>
        <w:jc w:val="both"/>
        <w:rPr>
          <w:rFonts w:asciiTheme="majorHAnsi" w:eastAsia="Times New Roman" w:hAnsiTheme="majorHAnsi" w:cstheme="majorHAnsi"/>
          <w:sz w:val="20"/>
          <w:szCs w:val="20"/>
          <w:shd w:val="clear" w:color="auto" w:fill="FFFFFF"/>
          <w:lang w:eastAsia="en-GB"/>
        </w:rPr>
      </w:pPr>
      <w:r w:rsidRPr="00FC37B1">
        <w:rPr>
          <w:rFonts w:asciiTheme="majorHAnsi" w:eastAsia="Times New Roman" w:hAnsiTheme="majorHAnsi" w:cstheme="majorHAnsi"/>
          <w:sz w:val="20"/>
          <w:szCs w:val="20"/>
          <w:shd w:val="clear" w:color="auto" w:fill="FFFFFF"/>
          <w:lang w:eastAsia="en-GB"/>
        </w:rPr>
        <w:t>nuo 2023 m. rugsėjo mėn. Įstaigoje pradėtos teikti muzikos ir dailės užimtumo specialistų paslaugos;</w:t>
      </w:r>
    </w:p>
    <w:p w14:paraId="23C5CBC4" w14:textId="77777777" w:rsidR="00FC37B1" w:rsidRPr="00FC37B1" w:rsidRDefault="00FC37B1" w:rsidP="00FC37B1">
      <w:pPr>
        <w:numPr>
          <w:ilvl w:val="0"/>
          <w:numId w:val="6"/>
        </w:numPr>
        <w:spacing w:after="0" w:line="240" w:lineRule="auto"/>
        <w:ind w:left="0" w:firstLine="900"/>
        <w:jc w:val="both"/>
        <w:rPr>
          <w:rFonts w:asciiTheme="majorHAnsi" w:eastAsia="Times New Roman" w:hAnsiTheme="majorHAnsi" w:cstheme="majorHAnsi"/>
          <w:sz w:val="20"/>
          <w:szCs w:val="20"/>
          <w:shd w:val="clear" w:color="auto" w:fill="FFFFFF"/>
          <w:lang w:eastAsia="en-GB"/>
        </w:rPr>
      </w:pPr>
      <w:r w:rsidRPr="00FC37B1">
        <w:rPr>
          <w:rFonts w:asciiTheme="majorHAnsi" w:eastAsia="Times New Roman" w:hAnsiTheme="majorHAnsi" w:cstheme="majorHAnsi"/>
          <w:sz w:val="20"/>
          <w:szCs w:val="20"/>
          <w:shd w:val="clear" w:color="auto" w:fill="FFFFFF"/>
          <w:lang w:eastAsia="en-GB"/>
        </w:rPr>
        <w:t>2023 m. lapkričio mėn. vyko pirmoji Įstaigoje organizuota atvirų durų diena, kurioje apsilankė paslaugų gavėjų teisiniai atstovai ir Įstaigos partneriai;</w:t>
      </w:r>
    </w:p>
    <w:p w14:paraId="7626D187" w14:textId="77777777" w:rsidR="00FC37B1" w:rsidRPr="00FC37B1" w:rsidRDefault="00FC37B1" w:rsidP="00FC37B1">
      <w:pPr>
        <w:numPr>
          <w:ilvl w:val="0"/>
          <w:numId w:val="6"/>
        </w:numPr>
        <w:spacing w:line="240" w:lineRule="auto"/>
        <w:ind w:left="0" w:firstLine="900"/>
        <w:jc w:val="both"/>
        <w:rPr>
          <w:rFonts w:asciiTheme="majorHAnsi" w:eastAsia="Times New Roman" w:hAnsiTheme="majorHAnsi" w:cstheme="majorHAnsi"/>
          <w:sz w:val="20"/>
          <w:szCs w:val="20"/>
          <w:shd w:val="clear" w:color="auto" w:fill="FFFFFF"/>
          <w:lang w:eastAsia="en-GB"/>
        </w:rPr>
      </w:pPr>
      <w:r w:rsidRPr="00FC37B1">
        <w:rPr>
          <w:rFonts w:asciiTheme="majorHAnsi" w:eastAsia="Calibri" w:hAnsiTheme="majorHAnsi" w:cstheme="majorHAnsi"/>
          <w:sz w:val="20"/>
          <w:szCs w:val="20"/>
          <w:shd w:val="clear" w:color="auto" w:fill="FFFFFF"/>
        </w:rPr>
        <w:t xml:space="preserve"> nuo 2024 m. spalio mėn. </w:t>
      </w:r>
      <w:r w:rsidRPr="00FC37B1">
        <w:rPr>
          <w:rFonts w:asciiTheme="majorHAnsi" w:eastAsia="Times New Roman" w:hAnsiTheme="majorHAnsi" w:cstheme="majorHAnsi"/>
          <w:sz w:val="20"/>
          <w:szCs w:val="20"/>
          <w:shd w:val="clear" w:color="auto" w:fill="FFFFFF"/>
          <w:lang w:eastAsia="en-GB"/>
        </w:rPr>
        <w:t xml:space="preserve">bendradarbiaujant su „Šilo“ mokyklos IT mokytoja, paslaugų gavėjams organizuojami kompiuterinio raštingumo užsiėmimai. </w:t>
      </w:r>
    </w:p>
    <w:p w14:paraId="4A411224" w14:textId="77777777" w:rsidR="00FC37B1" w:rsidRPr="00FC37B1" w:rsidRDefault="00FC37B1" w:rsidP="00FC37B1">
      <w:pPr>
        <w:spacing w:after="0" w:line="240" w:lineRule="auto"/>
        <w:ind w:firstLine="709"/>
        <w:jc w:val="both"/>
        <w:rPr>
          <w:rFonts w:asciiTheme="majorHAnsi" w:eastAsia="Calibri" w:hAnsiTheme="majorHAnsi" w:cstheme="majorHAnsi"/>
          <w:sz w:val="20"/>
          <w:szCs w:val="20"/>
        </w:rPr>
      </w:pPr>
      <w:r w:rsidRPr="00FC37B1">
        <w:rPr>
          <w:rFonts w:asciiTheme="majorHAnsi" w:eastAsia="Calibri" w:hAnsiTheme="majorHAnsi" w:cstheme="majorHAnsi"/>
          <w:sz w:val="20"/>
          <w:szCs w:val="20"/>
        </w:rPr>
        <w:t>2024 m. rugsėjo mėnesį buvo atliktas veiklos sričių pasilyginimas su Maltos socialinės globos centru asmenims su negalia „Dar il- Kaptan “.</w:t>
      </w:r>
    </w:p>
    <w:p w14:paraId="3D61D0B6" w14:textId="77777777" w:rsidR="00FC37B1" w:rsidRPr="00FC37B1" w:rsidRDefault="00FC37B1" w:rsidP="00FC37B1">
      <w:pPr>
        <w:spacing w:after="0" w:line="240" w:lineRule="auto"/>
        <w:ind w:firstLine="709"/>
        <w:jc w:val="both"/>
        <w:rPr>
          <w:rFonts w:asciiTheme="majorHAnsi" w:eastAsia="Calibri" w:hAnsiTheme="majorHAnsi" w:cstheme="majorHAnsi"/>
          <w:sz w:val="20"/>
          <w:szCs w:val="20"/>
        </w:rPr>
      </w:pPr>
      <w:r w:rsidRPr="00FC37B1">
        <w:rPr>
          <w:rFonts w:asciiTheme="majorHAnsi" w:eastAsia="Calibri" w:hAnsiTheme="majorHAnsi" w:cstheme="majorHAnsi"/>
          <w:sz w:val="20"/>
          <w:szCs w:val="20"/>
        </w:rPr>
        <w:t xml:space="preserve">Atsižvelgus į lyginimosį su „Dar il- Kaptan“ rezultatus, „Šeimos slėnis“ vertins galimybes tobulinti šias sritis: </w:t>
      </w:r>
    </w:p>
    <w:p w14:paraId="6C90A397" w14:textId="77777777" w:rsidR="00FC37B1" w:rsidRPr="00FC37B1" w:rsidRDefault="00FC37B1" w:rsidP="00FC37B1">
      <w:pPr>
        <w:spacing w:after="0" w:line="240" w:lineRule="auto"/>
        <w:ind w:firstLine="709"/>
        <w:jc w:val="both"/>
        <w:rPr>
          <w:rFonts w:asciiTheme="majorHAnsi" w:eastAsia="Calibri" w:hAnsiTheme="majorHAnsi" w:cstheme="majorHAnsi"/>
          <w:sz w:val="20"/>
          <w:szCs w:val="20"/>
        </w:rPr>
      </w:pPr>
      <w:r w:rsidRPr="00FC37B1">
        <w:rPr>
          <w:rFonts w:asciiTheme="majorHAnsi" w:eastAsia="Calibri" w:hAnsiTheme="majorHAnsi" w:cstheme="majorHAnsi"/>
          <w:sz w:val="20"/>
          <w:szCs w:val="20"/>
        </w:rPr>
        <w:t>•</w:t>
      </w:r>
      <w:r w:rsidRPr="00FC37B1">
        <w:rPr>
          <w:rFonts w:asciiTheme="majorHAnsi" w:eastAsia="Calibri" w:hAnsiTheme="majorHAnsi" w:cstheme="majorHAnsi"/>
          <w:sz w:val="20"/>
          <w:szCs w:val="20"/>
        </w:rPr>
        <w:tab/>
        <w:t xml:space="preserve">atsižvelgus į paslaugų gavėjų poreikį ir galimybes, įrengti paslaugų gavėjams kompiuterinio raštingumo klasę; </w:t>
      </w:r>
    </w:p>
    <w:p w14:paraId="03E0D105" w14:textId="77777777" w:rsidR="00FC37B1" w:rsidRPr="00FC37B1" w:rsidRDefault="00FC37B1" w:rsidP="00FC37B1">
      <w:pPr>
        <w:spacing w:after="0" w:line="240" w:lineRule="auto"/>
        <w:ind w:firstLine="709"/>
        <w:jc w:val="both"/>
        <w:rPr>
          <w:rFonts w:asciiTheme="majorHAnsi" w:eastAsia="Calibri" w:hAnsiTheme="majorHAnsi" w:cstheme="majorHAnsi"/>
          <w:sz w:val="20"/>
          <w:szCs w:val="20"/>
        </w:rPr>
      </w:pPr>
      <w:r w:rsidRPr="00FC37B1">
        <w:rPr>
          <w:rFonts w:asciiTheme="majorHAnsi" w:eastAsia="Calibri" w:hAnsiTheme="majorHAnsi" w:cstheme="majorHAnsi"/>
          <w:sz w:val="20"/>
          <w:szCs w:val="20"/>
        </w:rPr>
        <w:t>•</w:t>
      </w:r>
      <w:r w:rsidRPr="00FC37B1">
        <w:rPr>
          <w:rFonts w:asciiTheme="majorHAnsi" w:eastAsia="Calibri" w:hAnsiTheme="majorHAnsi" w:cstheme="majorHAnsi"/>
          <w:sz w:val="20"/>
          <w:szCs w:val="20"/>
        </w:rPr>
        <w:tab/>
        <w:t xml:space="preserve">2025 m. vėl iškelti poreikį organizuoti visuotinį PG atstovų susirinkimą;  </w:t>
      </w:r>
    </w:p>
    <w:p w14:paraId="62BF555A" w14:textId="77777777" w:rsidR="00FC37B1" w:rsidRPr="00FC37B1" w:rsidRDefault="00FC37B1" w:rsidP="00FC37B1">
      <w:pPr>
        <w:spacing w:after="0" w:line="240" w:lineRule="auto"/>
        <w:ind w:firstLine="709"/>
        <w:jc w:val="both"/>
        <w:rPr>
          <w:rFonts w:asciiTheme="majorHAnsi" w:eastAsia="Calibri" w:hAnsiTheme="majorHAnsi" w:cstheme="majorHAnsi"/>
          <w:sz w:val="20"/>
          <w:szCs w:val="20"/>
        </w:rPr>
      </w:pPr>
      <w:r w:rsidRPr="00FC37B1">
        <w:rPr>
          <w:rFonts w:asciiTheme="majorHAnsi" w:eastAsia="Calibri" w:hAnsiTheme="majorHAnsi" w:cstheme="majorHAnsi"/>
          <w:sz w:val="20"/>
          <w:szCs w:val="20"/>
        </w:rPr>
        <w:t>•</w:t>
      </w:r>
      <w:r w:rsidRPr="00FC37B1">
        <w:rPr>
          <w:rFonts w:asciiTheme="majorHAnsi" w:eastAsia="Calibri" w:hAnsiTheme="majorHAnsi" w:cstheme="majorHAnsi"/>
          <w:sz w:val="20"/>
          <w:szCs w:val="20"/>
        </w:rPr>
        <w:tab/>
        <w:t>taikyti aktyvų PG atstovų įtraukimą ir dalyvavimą įstaigos veiklose, įtraukti PG atstovus į dalyvavimą socialinėse akcijose; organizuoti šeimų iškylas vasaros metu.</w:t>
      </w:r>
    </w:p>
    <w:p w14:paraId="613A41CC" w14:textId="77777777" w:rsidR="00FC37B1" w:rsidRPr="00FC37B1" w:rsidRDefault="00FC37B1" w:rsidP="00FC37B1">
      <w:pPr>
        <w:spacing w:after="0" w:line="240" w:lineRule="auto"/>
        <w:ind w:firstLine="709"/>
        <w:jc w:val="both"/>
        <w:rPr>
          <w:rFonts w:asciiTheme="majorHAnsi" w:eastAsia="Calibri" w:hAnsiTheme="majorHAnsi" w:cstheme="majorHAnsi"/>
          <w:sz w:val="20"/>
          <w:szCs w:val="20"/>
        </w:rPr>
      </w:pPr>
      <w:r w:rsidRPr="00FC37B1">
        <w:rPr>
          <w:rFonts w:asciiTheme="majorHAnsi" w:eastAsia="Calibri" w:hAnsiTheme="majorHAnsi" w:cstheme="majorHAnsi"/>
          <w:sz w:val="20"/>
          <w:szCs w:val="20"/>
        </w:rPr>
        <w:t>Išsamiau susipažinti su pasilyginimo su Įstaigomis klausimynais bus galimybė EQUASS Assurance išorinio audito metu.</w:t>
      </w:r>
    </w:p>
    <w:p w14:paraId="12FB22BA" w14:textId="77777777" w:rsidR="00FC37B1" w:rsidRPr="00FC37B1" w:rsidRDefault="00FC37B1" w:rsidP="00FC37B1">
      <w:pPr>
        <w:spacing w:after="0" w:line="240" w:lineRule="auto"/>
        <w:ind w:firstLine="709"/>
        <w:jc w:val="both"/>
        <w:rPr>
          <w:rFonts w:ascii="Times New Roman" w:eastAsia="Calibri" w:hAnsi="Times New Roman" w:cs="Times New Roman"/>
          <w:sz w:val="24"/>
          <w:szCs w:val="24"/>
        </w:rPr>
      </w:pPr>
    </w:p>
    <w:p w14:paraId="16EDDE62" w14:textId="77777777" w:rsidR="00FC37B1" w:rsidRPr="00292EAA" w:rsidRDefault="00FC37B1" w:rsidP="00FC37B1">
      <w:pPr>
        <w:rPr>
          <w:rFonts w:ascii="Times New Roman" w:hAnsi="Times New Roman" w:cs="Times New Roman"/>
          <w:b/>
          <w:sz w:val="24"/>
          <w:szCs w:val="24"/>
        </w:rPr>
      </w:pPr>
    </w:p>
    <w:sectPr w:rsidR="00FC37B1" w:rsidRPr="00292EAA">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9C701B"/>
    <w:multiLevelType w:val="hybridMultilevel"/>
    <w:tmpl w:val="2CB21B2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29B2463B"/>
    <w:multiLevelType w:val="hybridMultilevel"/>
    <w:tmpl w:val="7D8E54D6"/>
    <w:lvl w:ilvl="0" w:tplc="04270001">
      <w:start w:val="1"/>
      <w:numFmt w:val="bullet"/>
      <w:lvlText w:val=""/>
      <w:lvlJc w:val="left"/>
      <w:pPr>
        <w:ind w:left="1260" w:hanging="360"/>
      </w:pPr>
      <w:rPr>
        <w:rFonts w:ascii="Symbol" w:hAnsi="Symbol" w:hint="default"/>
      </w:rPr>
    </w:lvl>
    <w:lvl w:ilvl="1" w:tplc="04270003" w:tentative="1">
      <w:start w:val="1"/>
      <w:numFmt w:val="bullet"/>
      <w:lvlText w:val="o"/>
      <w:lvlJc w:val="left"/>
      <w:pPr>
        <w:ind w:left="1980" w:hanging="360"/>
      </w:pPr>
      <w:rPr>
        <w:rFonts w:ascii="Courier New" w:hAnsi="Courier New" w:cs="Courier New" w:hint="default"/>
      </w:rPr>
    </w:lvl>
    <w:lvl w:ilvl="2" w:tplc="04270005" w:tentative="1">
      <w:start w:val="1"/>
      <w:numFmt w:val="bullet"/>
      <w:lvlText w:val=""/>
      <w:lvlJc w:val="left"/>
      <w:pPr>
        <w:ind w:left="2700" w:hanging="360"/>
      </w:pPr>
      <w:rPr>
        <w:rFonts w:ascii="Wingdings" w:hAnsi="Wingdings" w:hint="default"/>
      </w:rPr>
    </w:lvl>
    <w:lvl w:ilvl="3" w:tplc="04270001" w:tentative="1">
      <w:start w:val="1"/>
      <w:numFmt w:val="bullet"/>
      <w:lvlText w:val=""/>
      <w:lvlJc w:val="left"/>
      <w:pPr>
        <w:ind w:left="3420" w:hanging="360"/>
      </w:pPr>
      <w:rPr>
        <w:rFonts w:ascii="Symbol" w:hAnsi="Symbol" w:hint="default"/>
      </w:rPr>
    </w:lvl>
    <w:lvl w:ilvl="4" w:tplc="04270003" w:tentative="1">
      <w:start w:val="1"/>
      <w:numFmt w:val="bullet"/>
      <w:lvlText w:val="o"/>
      <w:lvlJc w:val="left"/>
      <w:pPr>
        <w:ind w:left="4140" w:hanging="360"/>
      </w:pPr>
      <w:rPr>
        <w:rFonts w:ascii="Courier New" w:hAnsi="Courier New" w:cs="Courier New" w:hint="default"/>
      </w:rPr>
    </w:lvl>
    <w:lvl w:ilvl="5" w:tplc="04270005" w:tentative="1">
      <w:start w:val="1"/>
      <w:numFmt w:val="bullet"/>
      <w:lvlText w:val=""/>
      <w:lvlJc w:val="left"/>
      <w:pPr>
        <w:ind w:left="4860" w:hanging="360"/>
      </w:pPr>
      <w:rPr>
        <w:rFonts w:ascii="Wingdings" w:hAnsi="Wingdings" w:hint="default"/>
      </w:rPr>
    </w:lvl>
    <w:lvl w:ilvl="6" w:tplc="04270001" w:tentative="1">
      <w:start w:val="1"/>
      <w:numFmt w:val="bullet"/>
      <w:lvlText w:val=""/>
      <w:lvlJc w:val="left"/>
      <w:pPr>
        <w:ind w:left="5580" w:hanging="360"/>
      </w:pPr>
      <w:rPr>
        <w:rFonts w:ascii="Symbol" w:hAnsi="Symbol" w:hint="default"/>
      </w:rPr>
    </w:lvl>
    <w:lvl w:ilvl="7" w:tplc="04270003" w:tentative="1">
      <w:start w:val="1"/>
      <w:numFmt w:val="bullet"/>
      <w:lvlText w:val="o"/>
      <w:lvlJc w:val="left"/>
      <w:pPr>
        <w:ind w:left="6300" w:hanging="360"/>
      </w:pPr>
      <w:rPr>
        <w:rFonts w:ascii="Courier New" w:hAnsi="Courier New" w:cs="Courier New" w:hint="default"/>
      </w:rPr>
    </w:lvl>
    <w:lvl w:ilvl="8" w:tplc="04270005" w:tentative="1">
      <w:start w:val="1"/>
      <w:numFmt w:val="bullet"/>
      <w:lvlText w:val=""/>
      <w:lvlJc w:val="left"/>
      <w:pPr>
        <w:ind w:left="7020" w:hanging="360"/>
      </w:pPr>
      <w:rPr>
        <w:rFonts w:ascii="Wingdings" w:hAnsi="Wingdings" w:hint="default"/>
      </w:rPr>
    </w:lvl>
  </w:abstractNum>
  <w:abstractNum w:abstractNumId="2" w15:restartNumberingAfterBreak="0">
    <w:nsid w:val="39065725"/>
    <w:multiLevelType w:val="hybridMultilevel"/>
    <w:tmpl w:val="EBBC52C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6186277C"/>
    <w:multiLevelType w:val="hybridMultilevel"/>
    <w:tmpl w:val="DD9C40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ED43839"/>
    <w:multiLevelType w:val="singleLevel"/>
    <w:tmpl w:val="6ED43839"/>
    <w:lvl w:ilvl="0">
      <w:start w:val="1"/>
      <w:numFmt w:val="upperRoman"/>
      <w:suff w:val="space"/>
      <w:lvlText w:val="%1."/>
      <w:lvlJc w:val="left"/>
    </w:lvl>
  </w:abstractNum>
  <w:abstractNum w:abstractNumId="5" w15:restartNumberingAfterBreak="0">
    <w:nsid w:val="6F3E76FA"/>
    <w:multiLevelType w:val="hybridMultilevel"/>
    <w:tmpl w:val="4E62867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7C6"/>
    <w:rsid w:val="00161420"/>
    <w:rsid w:val="00292EAA"/>
    <w:rsid w:val="005B188F"/>
    <w:rsid w:val="00707FE7"/>
    <w:rsid w:val="0084751A"/>
    <w:rsid w:val="00F56623"/>
    <w:rsid w:val="00FB57C6"/>
    <w:rsid w:val="00FC37B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6CE2D"/>
  <w15:chartTrackingRefBased/>
  <w15:docId w15:val="{317683DA-1B5D-4889-A3A0-306ECFDD3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qFormat/>
    <w:rsid w:val="00292EAA"/>
    <w:pPr>
      <w:spacing w:after="0" w:line="240" w:lineRule="auto"/>
    </w:pPr>
    <w:rPr>
      <w:rFonts w:ascii="Times New Roman" w:eastAsia="SimSu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next w:val="Lentelstinklelis"/>
    <w:uiPriority w:val="39"/>
    <w:rsid w:val="00292EA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292EA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292EAA"/>
    <w:pPr>
      <w:ind w:left="720"/>
      <w:contextualSpacing/>
    </w:pPr>
  </w:style>
  <w:style w:type="paragraph" w:styleId="Betarp">
    <w:name w:val="No Spacing"/>
    <w:uiPriority w:val="1"/>
    <w:qFormat/>
    <w:rsid w:val="00292EAA"/>
    <w:pPr>
      <w:spacing w:after="0" w:line="240" w:lineRule="auto"/>
    </w:pPr>
  </w:style>
  <w:style w:type="paragraph" w:styleId="Antrat">
    <w:name w:val="caption"/>
    <w:basedOn w:val="prastasis"/>
    <w:next w:val="prastasis"/>
    <w:uiPriority w:val="35"/>
    <w:unhideWhenUsed/>
    <w:qFormat/>
    <w:rsid w:val="00292EAA"/>
    <w:pPr>
      <w:spacing w:after="200" w:line="240" w:lineRule="auto"/>
    </w:pPr>
    <w:rPr>
      <w:i/>
      <w:iCs/>
      <w:color w:val="44546A" w:themeColor="text2"/>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13" Type="http://schemas.openxmlformats.org/officeDocument/2006/relationships/chart" Target="charts/chart8.xml"/><Relationship Id="rId18" Type="http://schemas.openxmlformats.org/officeDocument/2006/relationships/chart" Target="charts/chart13.xml"/><Relationship Id="rId3" Type="http://schemas.openxmlformats.org/officeDocument/2006/relationships/settings" Target="settings.xml"/><Relationship Id="rId21" Type="http://schemas.openxmlformats.org/officeDocument/2006/relationships/image" Target="media/image2.png"/><Relationship Id="rId7" Type="http://schemas.openxmlformats.org/officeDocument/2006/relationships/chart" Target="charts/chart3.xml"/><Relationship Id="rId12" Type="http://schemas.openxmlformats.org/officeDocument/2006/relationships/chart" Target="charts/chart7.xml"/><Relationship Id="rId17" Type="http://schemas.openxmlformats.org/officeDocument/2006/relationships/chart" Target="charts/chart12.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chart" Target="charts/chart11.xml"/><Relationship Id="rId20" Type="http://schemas.openxmlformats.org/officeDocument/2006/relationships/chart" Target="charts/chart15.xml"/><Relationship Id="rId1" Type="http://schemas.openxmlformats.org/officeDocument/2006/relationships/numbering" Target="numbering.xml"/><Relationship Id="rId6" Type="http://schemas.openxmlformats.org/officeDocument/2006/relationships/chart" Target="charts/chart2.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chart" Target="charts/chart1.xml"/><Relationship Id="rId15" Type="http://schemas.openxmlformats.org/officeDocument/2006/relationships/chart" Target="charts/chart10.xml"/><Relationship Id="rId23" Type="http://schemas.openxmlformats.org/officeDocument/2006/relationships/chart" Target="charts/chart17.xml"/><Relationship Id="rId10" Type="http://schemas.openxmlformats.org/officeDocument/2006/relationships/chart" Target="charts/chart6.xml"/><Relationship Id="rId19" Type="http://schemas.openxmlformats.org/officeDocument/2006/relationships/chart" Target="charts/chart14.xml"/><Relationship Id="rId4" Type="http://schemas.openxmlformats.org/officeDocument/2006/relationships/webSettings" Target="webSettings.xml"/><Relationship Id="rId9" Type="http://schemas.openxmlformats.org/officeDocument/2006/relationships/chart" Target="charts/chart5.xml"/><Relationship Id="rId14" Type="http://schemas.openxmlformats.org/officeDocument/2006/relationships/chart" Target="charts/chart9.xml"/><Relationship Id="rId22" Type="http://schemas.openxmlformats.org/officeDocument/2006/relationships/chart" Target="charts/chart16.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nas02.kudikiunamai.local\Redirected\0095\Desktop\Naujas%20&#8222;Microsoft%20Excel&#8220;%20darbalapis.xlsx"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7.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Microsoft_Excel_Worksheet8.xlsx"/></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_Worksheet9.xlsx"/></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package" Target="../embeddings/Microsoft_Excel_Worksheet10.xlsx"/></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package" Target="../embeddings/Microsoft_Excel_Worksheet11.xlsx"/></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14.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package" Target="../embeddings/Microsoft_Excel_Worksheet12.xlsx"/></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15.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package" Target="../embeddings/Microsoft_Excel_Worksheet13.xlsx"/></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16.xm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oleObject" Target="file:///C:\Users\0101\Downloads\2023%20Naudos%20skai&#269;iavimas%20(1).xlsx" TargetMode="External"/></Relationships>
</file>

<file path=word/charts/_rels/chart17.xml.rels><?xml version="1.0" encoding="UTF-8" standalone="yes"?>
<Relationships xmlns="http://schemas.openxmlformats.org/package/2006/relationships"><Relationship Id="rId3" Type="http://schemas.openxmlformats.org/officeDocument/2006/relationships/themeOverride" Target="../theme/themeOverride17.xml"/><Relationship Id="rId2" Type="http://schemas.microsoft.com/office/2011/relationships/chartColorStyle" Target="colors17.xml"/><Relationship Id="rId1" Type="http://schemas.microsoft.com/office/2011/relationships/chartStyle" Target="style17.xml"/><Relationship Id="rId4" Type="http://schemas.openxmlformats.org/officeDocument/2006/relationships/oleObject" Target="file:///C:\Users\0101\Downloads\2023%20Naudos%20skai&#269;iavimas%2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en-US" sz="1100" b="1" i="0" u="none" strike="noStrike" kern="1200" baseline="0">
                <a:solidFill>
                  <a:schemeClr val="tx1">
                    <a:lumMod val="50000"/>
                    <a:lumOff val="50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GB" altLang="en-US" sz="1000" b="1">
                <a:solidFill>
                  <a:schemeClr val="tx1">
                    <a:lumMod val="50000"/>
                    <a:lumOff val="50000"/>
                  </a:schemeClr>
                </a:solidFill>
                <a:latin typeface="+mj-lt"/>
                <a:ea typeface="Times New Roman" panose="02020603050405020304" charset="0"/>
                <a:cs typeface="Times New Roman" panose="02020603050405020304" charset="0"/>
                <a:sym typeface="Times New Roman" panose="02020603050405020304" charset="0"/>
              </a:rPr>
              <a:t>I</a:t>
            </a:r>
            <a:r>
              <a:rPr lang="lt-LT" altLang="en-US" sz="1000" b="1">
                <a:solidFill>
                  <a:schemeClr val="tx1">
                    <a:lumMod val="50000"/>
                    <a:lumOff val="50000"/>
                  </a:schemeClr>
                </a:solidFill>
                <a:latin typeface="+mj-lt"/>
                <a:ea typeface="Times New Roman" panose="02020603050405020304" charset="0"/>
                <a:cs typeface="Times New Roman" panose="02020603050405020304" charset="0"/>
                <a:sym typeface="Times New Roman" panose="02020603050405020304" charset="0"/>
              </a:rPr>
              <a:t>šklausytų mokymų nauda Įstaigos darbuotojams ir kompetencijų pritaikymas </a:t>
            </a:r>
          </a:p>
          <a:p>
            <a:pPr defTabSz="914400">
              <a:defRPr sz="1100">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lt-LT" altLang="en-GB" sz="1000" b="1">
              <a:solidFill>
                <a:schemeClr val="tx1">
                  <a:lumMod val="50000"/>
                  <a:lumOff val="50000"/>
                </a:schemeClr>
              </a:solidFill>
              <a:latin typeface="+mj-lt"/>
              <a:ea typeface="Times New Roman" panose="02020603050405020304" charset="0"/>
              <a:cs typeface="Times New Roman" panose="02020603050405020304" charset="0"/>
              <a:sym typeface="Times New Roman" panose="02020603050405020304" charset="0"/>
            </a:endParaRPr>
          </a:p>
        </c:rich>
      </c:tx>
      <c:layout>
        <c:manualLayout>
          <c:xMode val="edge"/>
          <c:yMode val="edge"/>
          <c:x val="0.170354435566482"/>
          <c:y val="4.3290043290043302E-2"/>
        </c:manualLayout>
      </c:layout>
      <c:overlay val="0"/>
      <c:spPr>
        <a:noFill/>
        <a:ln>
          <a:noFill/>
        </a:ln>
        <a:effectLst/>
      </c:spPr>
      <c:txPr>
        <a:bodyPr rot="0" spcFirstLastPara="0" vertOverflow="ellipsis" vert="horz" wrap="square" anchor="ctr" anchorCtr="1"/>
        <a:lstStyle/>
        <a:p>
          <a:pPr defTabSz="914400">
            <a:defRPr lang="en-US" sz="1100" b="1" i="0" u="none" strike="noStrike" kern="1200" baseline="0">
              <a:solidFill>
                <a:schemeClr val="tx1">
                  <a:lumMod val="50000"/>
                  <a:lumOff val="50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lt-LT"/>
        </a:p>
      </c:txPr>
    </c:title>
    <c:autoTitleDeleted val="0"/>
    <c:plotArea>
      <c:layout/>
      <c:barChart>
        <c:barDir val="bar"/>
        <c:grouping val="clustered"/>
        <c:varyColors val="0"/>
        <c:ser>
          <c:idx val="0"/>
          <c:order val="0"/>
          <c:tx>
            <c:strRef>
              <c:f>Sheet1!$B$1</c:f>
              <c:strCache>
                <c:ptCount val="1"/>
              </c:strCache>
            </c:strRef>
          </c:tx>
          <c:spPr>
            <a:solidFill>
              <a:schemeClr val="accent2">
                <a:lumMod val="60000"/>
                <a:lumOff val="40000"/>
              </a:schemeClr>
            </a:solidFill>
            <a:ln>
              <a:noFill/>
            </a:ln>
            <a:effectLst/>
          </c:spPr>
          <c:invertIfNegative val="0"/>
          <c:dLbls>
            <c:dLbl>
              <c:idx val="4"/>
              <c:tx>
                <c:rich>
                  <a:bodyPr/>
                  <a:lstStyle/>
                  <a:p>
                    <a:r>
                      <a:rPr lang="en-US">
                        <a:solidFill>
                          <a:schemeClr val="tx1">
                            <a:lumMod val="50000"/>
                            <a:lumOff val="50000"/>
                          </a:schemeClr>
                        </a:solidFill>
                      </a:rPr>
                      <a:t>3%</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1C7-46E0-A820-785B4807AC3D}"/>
                </c:ext>
              </c:extLst>
            </c:dLbl>
            <c:spPr>
              <a:noFill/>
              <a:ln>
                <a:noFill/>
              </a:ln>
              <a:effectLst/>
            </c:spPr>
            <c:txPr>
              <a:bodyPr rot="0" spcFirstLastPara="0" vertOverflow="ellipsis" vert="horz" wrap="square" lIns="38100" tIns="19050" rIns="38100" bIns="19050" anchor="ctr" anchorCtr="1"/>
              <a:lstStyle/>
              <a:p>
                <a:pPr>
                  <a:defRPr lang="en-US" sz="1000" b="0" i="0" u="none" strike="noStrike" kern="1200" baseline="0">
                    <a:solidFill>
                      <a:schemeClr val="tx1">
                        <a:lumMod val="50000"/>
                        <a:lumOff val="50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Pritaikė kompetencijas</c:v>
                </c:pt>
                <c:pt idx="1">
                  <c:v>Nepritaikė kompetencijas</c:v>
                </c:pt>
                <c:pt idx="2">
                  <c:v>Visi mokymai buvo naudingi</c:v>
                </c:pt>
                <c:pt idx="3">
                  <c:v>Dalis mokymų buvo naudingi</c:v>
                </c:pt>
                <c:pt idx="4">
                  <c:v>Mokymai buvo nenaudingi</c:v>
                </c:pt>
              </c:strCache>
            </c:strRef>
          </c:cat>
          <c:val>
            <c:numRef>
              <c:f>Sheet1!$B$2:$B$6</c:f>
              <c:numCache>
                <c:formatCode>0%</c:formatCode>
                <c:ptCount val="5"/>
                <c:pt idx="0">
                  <c:v>0.94</c:v>
                </c:pt>
                <c:pt idx="1">
                  <c:v>0.06</c:v>
                </c:pt>
                <c:pt idx="2">
                  <c:v>0.87</c:v>
                </c:pt>
                <c:pt idx="3">
                  <c:v>0.1</c:v>
                </c:pt>
                <c:pt idx="4" formatCode="0.00%">
                  <c:v>0.03</c:v>
                </c:pt>
              </c:numCache>
            </c:numRef>
          </c:val>
          <c:extLst>
            <c:ext xmlns:c16="http://schemas.microsoft.com/office/drawing/2014/chart" uri="{C3380CC4-5D6E-409C-BE32-E72D297353CC}">
              <c16:uniqueId val="{00000001-71C7-46E0-A820-785B4807AC3D}"/>
            </c:ext>
          </c:extLst>
        </c:ser>
        <c:ser>
          <c:idx val="1"/>
          <c:order val="1"/>
          <c:tx>
            <c:strRef>
              <c:f>Sheet1!$C$1</c:f>
              <c:strCache>
                <c:ptCount val="1"/>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en-US" sz="1000" b="0" i="0" u="none" strike="noStrike" kern="1200" baseline="0">
                    <a:solidFill>
                      <a:schemeClr val="tx1">
                        <a:lumMod val="50000"/>
                        <a:lumOff val="50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Pritaikė kompetencijas</c:v>
                </c:pt>
                <c:pt idx="1">
                  <c:v>Nepritaikė kompetencijas</c:v>
                </c:pt>
                <c:pt idx="2">
                  <c:v>Visi mokymai buvo naudingi</c:v>
                </c:pt>
                <c:pt idx="3">
                  <c:v>Dalis mokymų buvo naudingi</c:v>
                </c:pt>
                <c:pt idx="4">
                  <c:v>Mokymai buvo nenaudingi</c:v>
                </c:pt>
              </c:strCache>
            </c:strRef>
          </c:cat>
          <c:val>
            <c:numRef>
              <c:f>Sheet1!$C$2:$C$6</c:f>
              <c:numCache>
                <c:formatCode>General</c:formatCode>
                <c:ptCount val="5"/>
              </c:numCache>
            </c:numRef>
          </c:val>
          <c:extLst>
            <c:ext xmlns:c16="http://schemas.microsoft.com/office/drawing/2014/chart" uri="{C3380CC4-5D6E-409C-BE32-E72D297353CC}">
              <c16:uniqueId val="{00000002-71C7-46E0-A820-785B4807AC3D}"/>
            </c:ext>
          </c:extLst>
        </c:ser>
        <c:ser>
          <c:idx val="2"/>
          <c:order val="2"/>
          <c:tx>
            <c:strRef>
              <c:f>Sheet1!$D$1</c:f>
              <c:strCache>
                <c:ptCount val="1"/>
                <c:pt idx="0">
                  <c:v>Series 3</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en-US" sz="1000" b="0" i="0" u="none" strike="noStrike" kern="1200" baseline="0">
                    <a:solidFill>
                      <a:schemeClr val="tx1">
                        <a:lumMod val="50000"/>
                        <a:lumOff val="50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Pritaikė kompetencijas</c:v>
                </c:pt>
                <c:pt idx="1">
                  <c:v>Nepritaikė kompetencijas</c:v>
                </c:pt>
                <c:pt idx="2">
                  <c:v>Visi mokymai buvo naudingi</c:v>
                </c:pt>
                <c:pt idx="3">
                  <c:v>Dalis mokymų buvo naudingi</c:v>
                </c:pt>
                <c:pt idx="4">
                  <c:v>Mokymai buvo nenaudingi</c:v>
                </c:pt>
              </c:strCache>
            </c:strRef>
          </c:cat>
          <c:val>
            <c:numRef>
              <c:f>Sheet1!$D$2:$D$6</c:f>
              <c:numCache>
                <c:formatCode>General</c:formatCode>
                <c:ptCount val="5"/>
              </c:numCache>
            </c:numRef>
          </c:val>
          <c:extLst>
            <c:ext xmlns:c16="http://schemas.microsoft.com/office/drawing/2014/chart" uri="{C3380CC4-5D6E-409C-BE32-E72D297353CC}">
              <c16:uniqueId val="{00000003-71C7-46E0-A820-785B4807AC3D}"/>
            </c:ext>
          </c:extLst>
        </c:ser>
        <c:dLbls>
          <c:showLegendKey val="0"/>
          <c:showVal val="1"/>
          <c:showCatName val="0"/>
          <c:showSerName val="0"/>
          <c:showPercent val="0"/>
          <c:showBubbleSize val="0"/>
        </c:dLbls>
        <c:gapWidth val="140"/>
        <c:overlap val="-40"/>
        <c:axId val="455629509"/>
        <c:axId val="352365002"/>
      </c:barChart>
      <c:catAx>
        <c:axId val="455629509"/>
        <c:scaling>
          <c:orientation val="minMax"/>
        </c:scaling>
        <c:delete val="0"/>
        <c:axPos val="l"/>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en-US" sz="1000" b="0" i="0" u="none" strike="noStrike" kern="1200" baseline="0">
                <a:solidFill>
                  <a:schemeClr val="tx1">
                    <a:lumMod val="50000"/>
                    <a:lumOff val="50000"/>
                  </a:schemeClr>
                </a:solidFill>
                <a:latin typeface="+mj-lt"/>
                <a:ea typeface="Times New Roman" panose="02020603050405020304" charset="0"/>
                <a:cs typeface="Times New Roman" panose="02020603050405020304" charset="0"/>
                <a:sym typeface="Times New Roman" panose="02020603050405020304" charset="0"/>
              </a:defRPr>
            </a:pPr>
            <a:endParaRPr lang="lt-LT"/>
          </a:p>
        </c:txPr>
        <c:crossAx val="352365002"/>
        <c:crosses val="autoZero"/>
        <c:auto val="1"/>
        <c:lblAlgn val="ctr"/>
        <c:lblOffset val="100"/>
        <c:noMultiLvlLbl val="0"/>
      </c:catAx>
      <c:valAx>
        <c:axId val="352365002"/>
        <c:scaling>
          <c:orientation val="minMax"/>
        </c:scaling>
        <c:delete val="0"/>
        <c:axPos val="b"/>
        <c:majorGridlines>
          <c:spPr>
            <a:ln w="9525" cap="flat" cmpd="sng" algn="ctr">
              <a:solidFill>
                <a:schemeClr val="lt1">
                  <a:lumMod val="90200"/>
                </a:schemeClr>
              </a:solidFill>
              <a:round/>
            </a:ln>
            <a:effectLst/>
          </c:spPr>
        </c:majorGridlines>
        <c:numFmt formatCode="0%" sourceLinked="1"/>
        <c:majorTickMark val="out"/>
        <c:minorTickMark val="none"/>
        <c:tickLblPos val="nextTo"/>
        <c:spPr>
          <a:noFill/>
          <a:ln>
            <a:noFill/>
          </a:ln>
          <a:effectLst/>
        </c:spPr>
        <c:txPr>
          <a:bodyPr rot="-60000000" spcFirstLastPara="0" vertOverflow="ellipsis" vert="horz" wrap="square" anchor="ctr" anchorCtr="1"/>
          <a:lstStyle/>
          <a:p>
            <a:pPr>
              <a:defRPr lang="en-US" sz="1000" b="0" i="0" u="none" strike="noStrike" kern="1200" baseline="0">
                <a:solidFill>
                  <a:schemeClr val="tx1">
                    <a:lumMod val="50000"/>
                    <a:lumOff val="50000"/>
                  </a:schemeClr>
                </a:solidFill>
                <a:latin typeface="+mj-lt"/>
                <a:ea typeface="+mn-ea"/>
                <a:cs typeface="+mn-cs"/>
              </a:defRPr>
            </a:pPr>
            <a:endParaRPr lang="lt-LT"/>
          </a:p>
        </c:txPr>
        <c:crossAx val="455629509"/>
        <c:crosses val="autoZero"/>
        <c:crossBetween val="between"/>
      </c:valAx>
      <c:spPr>
        <a:noFill/>
        <a:ln>
          <a:noFill/>
        </a:ln>
        <a:effectLst/>
      </c:spPr>
    </c:plotArea>
    <c:plotVisOnly val="1"/>
    <c:dispBlanksAs val="gap"/>
    <c:showDLblsOverMax val="0"/>
    <c:extLst>
      <c:ext uri="{0b15fc19-7d7d-44ad-8c2d-2c3a37ce22c3}">
        <chartProps xmlns="https://web.wps.cn/et/2018/main" chartId="{996a3dc4-7860-4638-83bb-a1264cfe8fb0}"/>
      </c:ext>
    </c:extLst>
  </c:chart>
  <c:spPr>
    <a:solidFill>
      <a:schemeClr val="bg1"/>
    </a:solidFill>
    <a:ln w="9525" cap="flat" cmpd="sng" algn="ctr">
      <a:solidFill>
        <a:schemeClr val="tx1">
          <a:lumMod val="15000"/>
          <a:lumOff val="85000"/>
        </a:schemeClr>
      </a:solidFill>
      <a:round/>
    </a:ln>
    <a:effectLst/>
  </c:spPr>
  <c:txPr>
    <a:bodyPr/>
    <a:lstStyle/>
    <a:p>
      <a:pPr>
        <a:defRPr lang="en-US">
          <a:solidFill>
            <a:schemeClr val="tx1">
              <a:lumMod val="50000"/>
              <a:lumOff val="50000"/>
            </a:schemeClr>
          </a:solidFill>
        </a:defRPr>
      </a:pPr>
      <a:endParaRPr lang="lt-LT"/>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lang="en-US" sz="1100" b="1" i="0" u="none" strike="noStrike" kern="1200" cap="none" spc="50" normalizeH="0" baseline="0">
                <a:solidFill>
                  <a:schemeClr val="tx1">
                    <a:lumMod val="50000"/>
                    <a:lumOff val="50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lt-LT" sz="1000" b="1">
                <a:solidFill>
                  <a:schemeClr val="tx1">
                    <a:lumMod val="50000"/>
                    <a:lumOff val="50000"/>
                  </a:schemeClr>
                </a:solidFill>
                <a:latin typeface="+mj-lt"/>
                <a:ea typeface="Times New Roman" panose="02020603050405020304" charset="0"/>
                <a:cs typeface="Times New Roman" panose="02020603050405020304" charset="0"/>
                <a:sym typeface="Times New Roman" panose="02020603050405020304" charset="0"/>
              </a:rPr>
              <a:t>Darbuotojų kėlusių kompetencijas skaičius</a:t>
            </a:r>
            <a:r>
              <a:rPr lang="en-GB" altLang="lt-LT" sz="1000" b="1">
                <a:solidFill>
                  <a:schemeClr val="tx1">
                    <a:lumMod val="50000"/>
                    <a:lumOff val="50000"/>
                  </a:schemeClr>
                </a:solidFill>
                <a:latin typeface="+mj-lt"/>
                <a:ea typeface="Times New Roman" panose="02020603050405020304" charset="0"/>
                <a:cs typeface="Times New Roman" panose="02020603050405020304" charset="0"/>
                <a:sym typeface="Times New Roman" panose="02020603050405020304" charset="0"/>
              </a:rPr>
              <a:t> </a:t>
            </a:r>
          </a:p>
        </c:rich>
      </c:tx>
      <c:layout>
        <c:manualLayout>
          <c:xMode val="edge"/>
          <c:yMode val="edge"/>
          <c:x val="0.19961081523965599"/>
          <c:y val="4.5474231268947597E-2"/>
        </c:manualLayout>
      </c:layout>
      <c:overlay val="0"/>
      <c:spPr>
        <a:noFill/>
        <a:ln>
          <a:noFill/>
        </a:ln>
        <a:effectLst/>
      </c:spPr>
      <c:txPr>
        <a:bodyPr rot="0" spcFirstLastPara="1" vertOverflow="ellipsis" vert="horz" wrap="square" anchor="ctr" anchorCtr="1"/>
        <a:lstStyle/>
        <a:p>
          <a:pPr>
            <a:defRPr lang="en-US" sz="1100" b="1" i="0" u="none" strike="noStrike" kern="1200" cap="none" spc="50" normalizeH="0" baseline="0">
              <a:solidFill>
                <a:schemeClr val="tx1">
                  <a:lumMod val="50000"/>
                  <a:lumOff val="50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lt-LT"/>
        </a:p>
      </c:txPr>
    </c:title>
    <c:autoTitleDeleted val="0"/>
    <c:plotArea>
      <c:layout/>
      <c:barChart>
        <c:barDir val="col"/>
        <c:grouping val="clustered"/>
        <c:varyColors val="0"/>
        <c:ser>
          <c:idx val="0"/>
          <c:order val="0"/>
          <c:tx>
            <c:strRef>
              <c:f>Lapas1!$B$1</c:f>
              <c:strCache>
                <c:ptCount val="1"/>
                <c:pt idx="0">
                  <c:v>Socialinio darbo specialistai</c:v>
                </c:pt>
              </c:strCache>
            </c:strRef>
          </c:tx>
          <c:spPr>
            <a:solidFill>
              <a:schemeClr val="accent2">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1000" b="0" i="0" u="none" strike="noStrike" kern="1200" baseline="0">
                    <a:solidFill>
                      <a:schemeClr val="tx1">
                        <a:lumMod val="75000"/>
                        <a:lumOff val="2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Lapas1!$A$2:$A$5</c:f>
              <c:strCache>
                <c:ptCount val="4"/>
                <c:pt idx="1">
                  <c:v>2023 m.</c:v>
                </c:pt>
                <c:pt idx="2">
                  <c:v>2024 m.</c:v>
                </c:pt>
              </c:strCache>
            </c:strRef>
          </c:cat>
          <c:val>
            <c:numRef>
              <c:f>Lapas1!$B$2:$B$5</c:f>
              <c:numCache>
                <c:formatCode>General</c:formatCode>
                <c:ptCount val="4"/>
                <c:pt idx="1">
                  <c:v>76</c:v>
                </c:pt>
                <c:pt idx="2">
                  <c:v>78</c:v>
                </c:pt>
              </c:numCache>
            </c:numRef>
          </c:val>
          <c:extLst>
            <c:ext xmlns:c16="http://schemas.microsoft.com/office/drawing/2014/chart" uri="{C3380CC4-5D6E-409C-BE32-E72D297353CC}">
              <c16:uniqueId val="{00000000-CADA-46C6-9AF5-62B673296A0E}"/>
            </c:ext>
          </c:extLst>
        </c:ser>
        <c:ser>
          <c:idx val="1"/>
          <c:order val="1"/>
          <c:tx>
            <c:strRef>
              <c:f>Lapas1!$C$1</c:f>
              <c:strCache>
                <c:ptCount val="1"/>
                <c:pt idx="0">
                  <c:v>Sveikatos  priežiūros specialistai</c:v>
                </c:pt>
              </c:strCache>
            </c:strRef>
          </c:tx>
          <c:spPr>
            <a:solidFill>
              <a:srgbClr val="84CEDE"/>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1000" b="0" i="0" u="none" strike="noStrike" kern="1200" baseline="0">
                    <a:solidFill>
                      <a:schemeClr val="tx1">
                        <a:lumMod val="75000"/>
                        <a:lumOff val="2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Lapas1!$A$2:$A$5</c:f>
              <c:strCache>
                <c:ptCount val="4"/>
                <c:pt idx="1">
                  <c:v>2023 m.</c:v>
                </c:pt>
                <c:pt idx="2">
                  <c:v>2024 m.</c:v>
                </c:pt>
              </c:strCache>
            </c:strRef>
          </c:cat>
          <c:val>
            <c:numRef>
              <c:f>Lapas1!$C$2:$C$5</c:f>
              <c:numCache>
                <c:formatCode>General</c:formatCode>
                <c:ptCount val="4"/>
                <c:pt idx="1">
                  <c:v>24</c:v>
                </c:pt>
                <c:pt idx="2">
                  <c:v>24</c:v>
                </c:pt>
              </c:numCache>
            </c:numRef>
          </c:val>
          <c:extLst>
            <c:ext xmlns:c16="http://schemas.microsoft.com/office/drawing/2014/chart" uri="{C3380CC4-5D6E-409C-BE32-E72D297353CC}">
              <c16:uniqueId val="{00000001-CADA-46C6-9AF5-62B673296A0E}"/>
            </c:ext>
          </c:extLst>
        </c:ser>
        <c:ser>
          <c:idx val="2"/>
          <c:order val="2"/>
          <c:tx>
            <c:strRef>
              <c:f>Lapas1!$D$1</c:f>
              <c:strCache>
                <c:ptCount val="1"/>
                <c:pt idx="0">
                  <c:v>Administracijos ir ūkio dalies darbuotojai</c:v>
                </c:pt>
              </c:strCache>
            </c:strRef>
          </c:tx>
          <c:spPr>
            <a:solidFill>
              <a:srgbClr val="A9A3BF"/>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1000" b="0" i="0" u="none" strike="noStrike" kern="1200" baseline="0">
                    <a:solidFill>
                      <a:schemeClr val="tx1">
                        <a:lumMod val="75000"/>
                        <a:lumOff val="2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Lapas1!$A$2:$A$5</c:f>
              <c:strCache>
                <c:ptCount val="4"/>
                <c:pt idx="1">
                  <c:v>2023 m.</c:v>
                </c:pt>
                <c:pt idx="2">
                  <c:v>2024 m.</c:v>
                </c:pt>
              </c:strCache>
            </c:strRef>
          </c:cat>
          <c:val>
            <c:numRef>
              <c:f>Lapas1!$D$2:$D$5</c:f>
              <c:numCache>
                <c:formatCode>General</c:formatCode>
                <c:ptCount val="4"/>
                <c:pt idx="1">
                  <c:v>16</c:v>
                </c:pt>
                <c:pt idx="2">
                  <c:v>15</c:v>
                </c:pt>
              </c:numCache>
            </c:numRef>
          </c:val>
          <c:extLst>
            <c:ext xmlns:c16="http://schemas.microsoft.com/office/drawing/2014/chart" uri="{C3380CC4-5D6E-409C-BE32-E72D297353CC}">
              <c16:uniqueId val="{00000002-CADA-46C6-9AF5-62B673296A0E}"/>
            </c:ext>
          </c:extLst>
        </c:ser>
        <c:dLbls>
          <c:showLegendKey val="0"/>
          <c:showVal val="1"/>
          <c:showCatName val="0"/>
          <c:showSerName val="0"/>
          <c:showPercent val="0"/>
          <c:showBubbleSize val="0"/>
        </c:dLbls>
        <c:gapWidth val="80"/>
        <c:overlap val="25"/>
        <c:axId val="826681759"/>
        <c:axId val="733662799"/>
      </c:barChart>
      <c:catAx>
        <c:axId val="826681759"/>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lang="en-US" sz="1000" b="0" i="0" u="none" strike="noStrike" kern="1200" cap="none" spc="20" normalizeH="0" baseline="0">
                <a:solidFill>
                  <a:schemeClr val="tx1">
                    <a:lumMod val="65000"/>
                    <a:lumOff val="35000"/>
                  </a:schemeClr>
                </a:solidFill>
                <a:latin typeface="+mj-lt"/>
                <a:ea typeface="Times New Roman" panose="02020603050405020304" charset="0"/>
                <a:cs typeface="Times New Roman" panose="02020603050405020304" charset="0"/>
                <a:sym typeface="Times New Roman" panose="02020603050405020304" charset="0"/>
              </a:defRPr>
            </a:pPr>
            <a:endParaRPr lang="lt-LT"/>
          </a:p>
        </c:txPr>
        <c:crossAx val="733662799"/>
        <c:crosses val="autoZero"/>
        <c:auto val="1"/>
        <c:lblAlgn val="ctr"/>
        <c:lblOffset val="100"/>
        <c:noMultiLvlLbl val="0"/>
      </c:catAx>
      <c:valAx>
        <c:axId val="733662799"/>
        <c:scaling>
          <c:orientation val="minMax"/>
          <c:max val="100"/>
          <c:min val="0"/>
        </c:scaling>
        <c:delete val="0"/>
        <c:axPos val="l"/>
        <c:majorGridlines>
          <c:spPr>
            <a:ln w="9525" cap="flat" cmpd="sng" algn="ctr">
              <a:solidFill>
                <a:schemeClr val="tx1">
                  <a:lumMod val="5000"/>
                  <a:lumOff val="9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1000" b="0" i="0" u="none" strike="noStrike" kern="1200" spc="20" baseline="0">
                <a:solidFill>
                  <a:schemeClr val="tx1">
                    <a:lumMod val="65000"/>
                    <a:lumOff val="35000"/>
                  </a:schemeClr>
                </a:solidFill>
                <a:latin typeface="+mj-lt"/>
                <a:ea typeface="Times New Roman" panose="02020603050405020304" charset="0"/>
                <a:cs typeface="Times New Roman" panose="02020603050405020304" charset="0"/>
                <a:sym typeface="Times New Roman" panose="02020603050405020304" charset="0"/>
              </a:defRPr>
            </a:pPr>
            <a:endParaRPr lang="lt-LT"/>
          </a:p>
        </c:txPr>
        <c:crossAx val="826681759"/>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lang="en-US" sz="1000" b="0" i="0" u="none" strike="noStrike" kern="1200" baseline="0">
                <a:solidFill>
                  <a:schemeClr val="tx1">
                    <a:lumMod val="65000"/>
                    <a:lumOff val="35000"/>
                  </a:schemeClr>
                </a:solidFill>
                <a:latin typeface="+mj-lt"/>
                <a:ea typeface="Times New Roman" panose="02020603050405020304" charset="0"/>
                <a:cs typeface="Times New Roman" panose="02020603050405020304" charset="0"/>
                <a:sym typeface="Times New Roman" panose="02020603050405020304" charset="0"/>
              </a:defRPr>
            </a:pPr>
            <a:endParaRPr lang="lt-LT"/>
          </a:p>
        </c:txPr>
      </c:legendEntry>
      <c:legendEntry>
        <c:idx val="1"/>
        <c:txPr>
          <a:bodyPr rot="0" spcFirstLastPara="1" vertOverflow="ellipsis" vert="horz" wrap="square" anchor="ctr" anchorCtr="1"/>
          <a:lstStyle/>
          <a:p>
            <a:pPr>
              <a:defRPr lang="en-US" sz="1000" b="0" i="0" u="none" strike="noStrike" kern="1200" baseline="0">
                <a:solidFill>
                  <a:schemeClr val="tx1">
                    <a:lumMod val="65000"/>
                    <a:lumOff val="35000"/>
                  </a:schemeClr>
                </a:solidFill>
                <a:latin typeface="+mj-lt"/>
                <a:ea typeface="Times New Roman" panose="02020603050405020304" charset="0"/>
                <a:cs typeface="Times New Roman" panose="02020603050405020304" charset="0"/>
                <a:sym typeface="Times New Roman" panose="02020603050405020304" charset="0"/>
              </a:defRPr>
            </a:pPr>
            <a:endParaRPr lang="lt-LT"/>
          </a:p>
        </c:txPr>
      </c:legendEntry>
      <c:legendEntry>
        <c:idx val="2"/>
        <c:txPr>
          <a:bodyPr rot="0" spcFirstLastPara="1" vertOverflow="ellipsis" vert="horz" wrap="square" anchor="ctr" anchorCtr="1"/>
          <a:lstStyle/>
          <a:p>
            <a:pPr>
              <a:defRPr lang="en-US" sz="1000" b="0" i="0" u="none" strike="noStrike" kern="1200" baseline="0">
                <a:solidFill>
                  <a:schemeClr val="tx1">
                    <a:lumMod val="65000"/>
                    <a:lumOff val="35000"/>
                  </a:schemeClr>
                </a:solidFill>
                <a:latin typeface="+mj-lt"/>
                <a:ea typeface="Times New Roman" panose="02020603050405020304" charset="0"/>
                <a:cs typeface="Times New Roman" panose="02020603050405020304" charset="0"/>
                <a:sym typeface="Times New Roman" panose="02020603050405020304" charset="0"/>
              </a:defRPr>
            </a:pPr>
            <a:endParaRPr lang="lt-LT"/>
          </a:p>
        </c:txPr>
      </c:legendEntry>
      <c:layout>
        <c:manualLayout>
          <c:xMode val="edge"/>
          <c:yMode val="edge"/>
          <c:x val="1.6079475624743999E-2"/>
          <c:y val="0.65482893027284494"/>
          <c:w val="0.96937730438344905"/>
          <c:h val="0.29320051970549998"/>
        </c:manualLayout>
      </c:layout>
      <c:overlay val="0"/>
      <c:spPr>
        <a:noFill/>
        <a:ln>
          <a:noFill/>
        </a:ln>
        <a:effectLst/>
      </c:spPr>
      <c:txPr>
        <a:bodyPr rot="0" spcFirstLastPara="1" vertOverflow="ellipsis" vert="horz" wrap="square" anchor="ctr" anchorCtr="1"/>
        <a:lstStyle/>
        <a:p>
          <a:pPr>
            <a:defRPr lang="en-US" sz="1000" b="0" i="0" u="none" strike="noStrike" kern="1200" baseline="0">
              <a:solidFill>
                <a:schemeClr val="tx1">
                  <a:lumMod val="65000"/>
                  <a:lumOff val="35000"/>
                </a:schemeClr>
              </a:solidFill>
              <a:latin typeface="+mj-lt"/>
              <a:ea typeface="Times New Roman" panose="02020603050405020304" charset="0"/>
              <a:cs typeface="Times New Roman" panose="02020603050405020304" charset="0"/>
              <a:sym typeface="Times New Roman" panose="02020603050405020304" charset="0"/>
            </a:defRPr>
          </a:pPr>
          <a:endParaRPr lang="lt-LT"/>
        </a:p>
      </c:txPr>
    </c:legend>
    <c:plotVisOnly val="1"/>
    <c:dispBlanksAs val="gap"/>
    <c:showDLblsOverMax val="0"/>
    <c:extLst>
      <c:ext uri="{0b15fc19-7d7d-44ad-8c2d-2c3a37ce22c3}">
        <chartProps xmlns="https://web.wps.cn/et/2018/main" chartId="{5314cdc6-216c-4e71-952d-01471f634038}"/>
      </c:ext>
    </c:extLst>
  </c:chart>
  <c:spPr>
    <a:solidFill>
      <a:schemeClr val="lt1"/>
    </a:solidFill>
    <a:ln w="9525" cap="flat" cmpd="sng" algn="ctr">
      <a:solidFill>
        <a:schemeClr val="tx1">
          <a:lumMod val="15000"/>
          <a:lumOff val="85000"/>
        </a:schemeClr>
      </a:solidFill>
      <a:round/>
    </a:ln>
    <a:effectLst/>
  </c:spPr>
  <c:txPr>
    <a:bodyPr/>
    <a:lstStyle/>
    <a:p>
      <a:pPr>
        <a:defRPr lang="en-US" sz="1200">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lt-LT"/>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0" i="0" u="none" strike="noStrike" kern="1200" cap="none" spc="50" normalizeH="0" baseline="0">
                <a:solidFill>
                  <a:schemeClr val="tx1">
                    <a:lumMod val="65000"/>
                    <a:lumOff val="35000"/>
                  </a:schemeClr>
                </a:solidFill>
                <a:latin typeface="+mj-lt"/>
                <a:ea typeface="+mj-ea"/>
                <a:cs typeface="+mj-cs"/>
              </a:defRPr>
            </a:pPr>
            <a:r>
              <a:rPr lang="lt-LT" sz="1000">
                <a:latin typeface="+mj-lt"/>
                <a:cs typeface="Times New Roman" panose="02020603050405020304" pitchFamily="18" charset="0"/>
              </a:rPr>
              <a:t>PG teisių suvokimo procentinės išraiškos palyginimas </a:t>
            </a:r>
          </a:p>
          <a:p>
            <a:pPr>
              <a:defRPr sz="1000">
                <a:latin typeface="+mj-lt"/>
              </a:defRPr>
            </a:pPr>
            <a:r>
              <a:rPr lang="lt-LT" sz="1000">
                <a:latin typeface="+mj-lt"/>
                <a:cs typeface="Times New Roman" panose="02020603050405020304" pitchFamily="18" charset="0"/>
              </a:rPr>
              <a:t>2023 m. ir 2024 m.</a:t>
            </a:r>
            <a:endParaRPr lang="lt-LT" sz="1000">
              <a:latin typeface="+mj-lt"/>
            </a:endParaRPr>
          </a:p>
        </c:rich>
      </c:tx>
      <c:overlay val="0"/>
      <c:spPr>
        <a:noFill/>
        <a:ln>
          <a:noFill/>
        </a:ln>
        <a:effectLst/>
      </c:spPr>
      <c:txPr>
        <a:bodyPr rot="0" spcFirstLastPara="1" vertOverflow="ellipsis" vert="horz" wrap="square" anchor="ctr" anchorCtr="1"/>
        <a:lstStyle/>
        <a:p>
          <a:pPr>
            <a:defRPr sz="1000" b="0" i="0" u="none" strike="noStrike" kern="1200" cap="none" spc="50" normalizeH="0" baseline="0">
              <a:solidFill>
                <a:schemeClr val="tx1">
                  <a:lumMod val="65000"/>
                  <a:lumOff val="35000"/>
                </a:schemeClr>
              </a:solidFill>
              <a:latin typeface="+mj-lt"/>
              <a:ea typeface="+mj-ea"/>
              <a:cs typeface="+mj-cs"/>
            </a:defRPr>
          </a:pPr>
          <a:endParaRPr lang="lt-LT"/>
        </a:p>
      </c:txPr>
    </c:title>
    <c:autoTitleDeleted val="0"/>
    <c:plotArea>
      <c:layout/>
      <c:barChart>
        <c:barDir val="col"/>
        <c:grouping val="clustered"/>
        <c:varyColors val="0"/>
        <c:ser>
          <c:idx val="0"/>
          <c:order val="0"/>
          <c:tx>
            <c:strRef>
              <c:f>Lapas1!$B$1</c:f>
              <c:strCache>
                <c:ptCount val="1"/>
                <c:pt idx="0">
                  <c:v>2023 m.</c:v>
                </c:pt>
              </c:strCache>
            </c:strRef>
          </c:tx>
          <c:spPr>
            <a:solidFill>
              <a:srgbClr val="7030A0">
                <a:alpha val="50196"/>
              </a:srgb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Lapas1!$A$2:$A$9</c:f>
              <c:strCache>
                <c:ptCount val="8"/>
                <c:pt idx="0">
                  <c:v>Teisė į saugumą</c:v>
                </c:pt>
                <c:pt idx="1">
                  <c:v>Teisė į užimtumą</c:v>
                </c:pt>
                <c:pt idx="2">
                  <c:v>Teisė į sveikatos apsaugą</c:v>
                </c:pt>
                <c:pt idx="3">
                  <c:v>Teisė į prieinamumą</c:v>
                </c:pt>
                <c:pt idx="4">
                  <c:v>Teisė į dalyvavimą</c:v>
                </c:pt>
                <c:pt idx="5">
                  <c:v>Teisė į lygybę</c:v>
                </c:pt>
                <c:pt idx="6">
                  <c:v>Teisė į privatumą</c:v>
                </c:pt>
                <c:pt idx="7">
                  <c:v>Teisė gyventi šeimoje</c:v>
                </c:pt>
              </c:strCache>
            </c:strRef>
          </c:cat>
          <c:val>
            <c:numRef>
              <c:f>Lapas1!$B$2:$B$9</c:f>
              <c:numCache>
                <c:formatCode>0%</c:formatCode>
                <c:ptCount val="8"/>
                <c:pt idx="0">
                  <c:v>0.77</c:v>
                </c:pt>
                <c:pt idx="1">
                  <c:v>0.75</c:v>
                </c:pt>
                <c:pt idx="2">
                  <c:v>0.7</c:v>
                </c:pt>
                <c:pt idx="3">
                  <c:v>0.65</c:v>
                </c:pt>
                <c:pt idx="4">
                  <c:v>0.8</c:v>
                </c:pt>
                <c:pt idx="5">
                  <c:v>0.49</c:v>
                </c:pt>
                <c:pt idx="6">
                  <c:v>0.71</c:v>
                </c:pt>
                <c:pt idx="7">
                  <c:v>0.78</c:v>
                </c:pt>
              </c:numCache>
            </c:numRef>
          </c:val>
          <c:extLst>
            <c:ext xmlns:c16="http://schemas.microsoft.com/office/drawing/2014/chart" uri="{C3380CC4-5D6E-409C-BE32-E72D297353CC}">
              <c16:uniqueId val="{00000000-B794-4B5B-81AD-E51354D104E3}"/>
            </c:ext>
          </c:extLst>
        </c:ser>
        <c:ser>
          <c:idx val="1"/>
          <c:order val="1"/>
          <c:tx>
            <c:strRef>
              <c:f>Lapas1!$C$1</c:f>
              <c:strCache>
                <c:ptCount val="1"/>
                <c:pt idx="0">
                  <c:v>2024 m.</c:v>
                </c:pt>
              </c:strCache>
            </c:strRef>
          </c:tx>
          <c:spPr>
            <a:solidFill>
              <a:srgbClr val="F4B183">
                <a:alpha val="94902"/>
              </a:srgb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Lapas1!$A$2:$A$9</c:f>
              <c:strCache>
                <c:ptCount val="8"/>
                <c:pt idx="0">
                  <c:v>Teisė į saugumą</c:v>
                </c:pt>
                <c:pt idx="1">
                  <c:v>Teisė į užimtumą</c:v>
                </c:pt>
                <c:pt idx="2">
                  <c:v>Teisė į sveikatos apsaugą</c:v>
                </c:pt>
                <c:pt idx="3">
                  <c:v>Teisė į prieinamumą</c:v>
                </c:pt>
                <c:pt idx="4">
                  <c:v>Teisė į dalyvavimą</c:v>
                </c:pt>
                <c:pt idx="5">
                  <c:v>Teisė į lygybę</c:v>
                </c:pt>
                <c:pt idx="6">
                  <c:v>Teisė į privatumą</c:v>
                </c:pt>
                <c:pt idx="7">
                  <c:v>Teisė gyventi šeimoje</c:v>
                </c:pt>
              </c:strCache>
            </c:strRef>
          </c:cat>
          <c:val>
            <c:numRef>
              <c:f>Lapas1!$C$2:$C$9</c:f>
              <c:numCache>
                <c:formatCode>0%</c:formatCode>
                <c:ptCount val="8"/>
                <c:pt idx="0">
                  <c:v>0.8</c:v>
                </c:pt>
                <c:pt idx="1">
                  <c:v>0.77</c:v>
                </c:pt>
                <c:pt idx="2">
                  <c:v>0.68</c:v>
                </c:pt>
                <c:pt idx="3">
                  <c:v>0.78</c:v>
                </c:pt>
                <c:pt idx="4">
                  <c:v>0.82</c:v>
                </c:pt>
                <c:pt idx="5">
                  <c:v>0.69</c:v>
                </c:pt>
                <c:pt idx="6">
                  <c:v>0.78</c:v>
                </c:pt>
                <c:pt idx="7">
                  <c:v>0.81</c:v>
                </c:pt>
              </c:numCache>
            </c:numRef>
          </c:val>
          <c:extLst>
            <c:ext xmlns:c16="http://schemas.microsoft.com/office/drawing/2014/chart" uri="{C3380CC4-5D6E-409C-BE32-E72D297353CC}">
              <c16:uniqueId val="{00000001-B794-4B5B-81AD-E51354D104E3}"/>
            </c:ext>
          </c:extLst>
        </c:ser>
        <c:ser>
          <c:idx val="2"/>
          <c:order val="2"/>
          <c:tx>
            <c:strRef>
              <c:f>Lapas1!$D$1</c:f>
              <c:strCache>
                <c:ptCount val="1"/>
                <c:pt idx="0">
                  <c:v>Stulpelis1</c:v>
                </c:pt>
              </c:strCache>
            </c:strRef>
          </c:tx>
          <c:spPr>
            <a:solidFill>
              <a:schemeClr val="accent3">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Lapas1!$A$2:$A$9</c:f>
              <c:strCache>
                <c:ptCount val="8"/>
                <c:pt idx="0">
                  <c:v>Teisė į saugumą</c:v>
                </c:pt>
                <c:pt idx="1">
                  <c:v>Teisė į užimtumą</c:v>
                </c:pt>
                <c:pt idx="2">
                  <c:v>Teisė į sveikatos apsaugą</c:v>
                </c:pt>
                <c:pt idx="3">
                  <c:v>Teisė į prieinamumą</c:v>
                </c:pt>
                <c:pt idx="4">
                  <c:v>Teisė į dalyvavimą</c:v>
                </c:pt>
                <c:pt idx="5">
                  <c:v>Teisė į lygybę</c:v>
                </c:pt>
                <c:pt idx="6">
                  <c:v>Teisė į privatumą</c:v>
                </c:pt>
                <c:pt idx="7">
                  <c:v>Teisė gyventi šeimoje</c:v>
                </c:pt>
              </c:strCache>
            </c:strRef>
          </c:cat>
          <c:val>
            <c:numRef>
              <c:f>Lapas1!$D$2:$D$9</c:f>
            </c:numRef>
          </c:val>
          <c:extLst>
            <c:ext xmlns:c16="http://schemas.microsoft.com/office/drawing/2014/chart" uri="{C3380CC4-5D6E-409C-BE32-E72D297353CC}">
              <c16:uniqueId val="{00000002-B794-4B5B-81AD-E51354D104E3}"/>
            </c:ext>
          </c:extLst>
        </c:ser>
        <c:dLbls>
          <c:showLegendKey val="0"/>
          <c:showVal val="1"/>
          <c:showCatName val="0"/>
          <c:showSerName val="0"/>
          <c:showPercent val="0"/>
          <c:showBubbleSize val="0"/>
        </c:dLbls>
        <c:gapWidth val="80"/>
        <c:overlap val="25"/>
        <c:axId val="1972833551"/>
        <c:axId val="1924379231"/>
      </c:barChart>
      <c:catAx>
        <c:axId val="1972833551"/>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0" spcFirstLastPara="1" vertOverflow="ellipsis" wrap="square" anchor="ctr" anchorCtr="1"/>
          <a:lstStyle/>
          <a:p>
            <a:pPr>
              <a:defRPr sz="900" b="0" i="0" u="none" strike="noStrike" kern="1200" cap="none" spc="20" normalizeH="0" baseline="0">
                <a:solidFill>
                  <a:schemeClr val="tx1">
                    <a:lumMod val="65000"/>
                    <a:lumOff val="35000"/>
                  </a:schemeClr>
                </a:solidFill>
                <a:latin typeface="+mj-lt"/>
                <a:ea typeface="+mn-ea"/>
                <a:cs typeface="+mn-cs"/>
              </a:defRPr>
            </a:pPr>
            <a:endParaRPr lang="lt-LT"/>
          </a:p>
        </c:txPr>
        <c:crossAx val="1924379231"/>
        <c:crosses val="autoZero"/>
        <c:auto val="1"/>
        <c:lblAlgn val="ctr"/>
        <c:lblOffset val="100"/>
        <c:noMultiLvlLbl val="0"/>
      </c:catAx>
      <c:valAx>
        <c:axId val="1924379231"/>
        <c:scaling>
          <c:orientation val="minMax"/>
        </c:scaling>
        <c:delete val="0"/>
        <c:axPos val="l"/>
        <c:majorGridlines>
          <c:spPr>
            <a:ln w="9525" cap="flat" cmpd="sng" algn="ctr">
              <a:solidFill>
                <a:schemeClr val="tx1">
                  <a:lumMod val="5000"/>
                  <a:lumOff val="9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mn-lt"/>
                <a:ea typeface="+mn-ea"/>
                <a:cs typeface="+mn-cs"/>
              </a:defRPr>
            </a:pPr>
            <a:endParaRPr lang="lt-LT"/>
          </a:p>
        </c:txPr>
        <c:crossAx val="197283355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lt-LT"/>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0" i="0" u="none" strike="noStrike" kern="1200" cap="none" spc="50" normalizeH="0" baseline="0">
                <a:solidFill>
                  <a:schemeClr val="tx1">
                    <a:lumMod val="65000"/>
                    <a:lumOff val="35000"/>
                  </a:schemeClr>
                </a:solidFill>
                <a:latin typeface="+mj-lt"/>
                <a:ea typeface="+mj-ea"/>
                <a:cs typeface="Times New Roman" panose="02020603050405020304" pitchFamily="18" charset="0"/>
              </a:defRPr>
            </a:pPr>
            <a:r>
              <a:rPr lang="lt-LT" sz="1000">
                <a:latin typeface="+mj-lt"/>
                <a:ea typeface="Cambria" panose="02040503050406030204" pitchFamily="18" charset="0"/>
                <a:cs typeface="Times New Roman" panose="02020603050405020304" pitchFamily="18" charset="0"/>
              </a:rPr>
              <a:t>Bendradarbiavimo naudingumas 2023 - 2024 m. </a:t>
            </a:r>
          </a:p>
        </c:rich>
      </c:tx>
      <c:overlay val="0"/>
      <c:spPr>
        <a:noFill/>
        <a:ln>
          <a:noFill/>
        </a:ln>
        <a:effectLst/>
      </c:spPr>
      <c:txPr>
        <a:bodyPr rot="0" spcFirstLastPara="1" vertOverflow="ellipsis" vert="horz" wrap="square" anchor="ctr" anchorCtr="1"/>
        <a:lstStyle/>
        <a:p>
          <a:pPr>
            <a:defRPr sz="1000" b="0" i="0" u="none" strike="noStrike" kern="1200" cap="none" spc="50" normalizeH="0" baseline="0">
              <a:solidFill>
                <a:schemeClr val="tx1">
                  <a:lumMod val="65000"/>
                  <a:lumOff val="35000"/>
                </a:schemeClr>
              </a:solidFill>
              <a:latin typeface="+mj-lt"/>
              <a:ea typeface="+mj-ea"/>
              <a:cs typeface="Times New Roman" panose="02020603050405020304" pitchFamily="18" charset="0"/>
            </a:defRPr>
          </a:pPr>
          <a:endParaRPr lang="lt-LT"/>
        </a:p>
      </c:txPr>
    </c:title>
    <c:autoTitleDeleted val="0"/>
    <c:plotArea>
      <c:layout/>
      <c:barChart>
        <c:barDir val="col"/>
        <c:grouping val="clustered"/>
        <c:varyColors val="0"/>
        <c:ser>
          <c:idx val="0"/>
          <c:order val="0"/>
          <c:tx>
            <c:strRef>
              <c:f>Lapas1!$B$1</c:f>
              <c:strCache>
                <c:ptCount val="1"/>
                <c:pt idx="0">
                  <c:v>2023</c:v>
                </c:pt>
              </c:strCache>
            </c:strRef>
          </c:tx>
          <c:spPr>
            <a:solidFill>
              <a:schemeClr val="accent6">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Lapas1!$A$2:$A$8</c:f>
              <c:strCache>
                <c:ptCount val="7"/>
                <c:pt idx="0">
                  <c:v>Profesinio ir/ar aukštojo mokslo įstaigos (VESK,VIKO, VU)</c:v>
                </c:pt>
                <c:pt idx="1">
                  <c:v>Vilniaus keistuolių teatras</c:v>
                </c:pt>
                <c:pt idx="2">
                  <c:v>VŠĮ "Artoteka"</c:v>
                </c:pt>
                <c:pt idx="3">
                  <c:v>Vilniaus l/d "Paslaptis"</c:v>
                </c:pt>
                <c:pt idx="4">
                  <c:v>Vilniaus l/d "Atžalėlė"</c:v>
                </c:pt>
                <c:pt idx="5">
                  <c:v>Vilniaus l/d "Žolynas"</c:v>
                </c:pt>
                <c:pt idx="6">
                  <c:v>UAB "Vaisiai Jums"</c:v>
                </c:pt>
              </c:strCache>
            </c:strRef>
          </c:cat>
          <c:val>
            <c:numRef>
              <c:f>Lapas1!$B$2:$B$8</c:f>
              <c:numCache>
                <c:formatCode>General</c:formatCode>
                <c:ptCount val="7"/>
                <c:pt idx="0">
                  <c:v>65.900000000000006</c:v>
                </c:pt>
                <c:pt idx="1">
                  <c:v>79.099999999999994</c:v>
                </c:pt>
                <c:pt idx="2">
                  <c:v>53.5</c:v>
                </c:pt>
                <c:pt idx="3">
                  <c:v>42.2</c:v>
                </c:pt>
                <c:pt idx="4">
                  <c:v>42.9</c:v>
                </c:pt>
                <c:pt idx="5">
                  <c:v>59.3</c:v>
                </c:pt>
                <c:pt idx="6">
                  <c:v>62</c:v>
                </c:pt>
              </c:numCache>
            </c:numRef>
          </c:val>
          <c:extLst>
            <c:ext xmlns:c16="http://schemas.microsoft.com/office/drawing/2014/chart" uri="{C3380CC4-5D6E-409C-BE32-E72D297353CC}">
              <c16:uniqueId val="{00000000-CB12-4D38-88AF-3B574762CBFD}"/>
            </c:ext>
          </c:extLst>
        </c:ser>
        <c:ser>
          <c:idx val="1"/>
          <c:order val="1"/>
          <c:tx>
            <c:strRef>
              <c:f>Lapas1!$C$1</c:f>
              <c:strCache>
                <c:ptCount val="1"/>
                <c:pt idx="0">
                  <c:v>2024</c:v>
                </c:pt>
              </c:strCache>
            </c:strRef>
          </c:tx>
          <c:spPr>
            <a:solidFill>
              <a:schemeClr val="accent5">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Lapas1!$A$2:$A$8</c:f>
              <c:strCache>
                <c:ptCount val="7"/>
                <c:pt idx="0">
                  <c:v>Profesinio ir/ar aukštojo mokslo įstaigos (VESK,VIKO, VU)</c:v>
                </c:pt>
                <c:pt idx="1">
                  <c:v>Vilniaus keistuolių teatras</c:v>
                </c:pt>
                <c:pt idx="2">
                  <c:v>VŠĮ "Artoteka"</c:v>
                </c:pt>
                <c:pt idx="3">
                  <c:v>Vilniaus l/d "Paslaptis"</c:v>
                </c:pt>
                <c:pt idx="4">
                  <c:v>Vilniaus l/d "Atžalėlė"</c:v>
                </c:pt>
                <c:pt idx="5">
                  <c:v>Vilniaus l/d "Žolynas"</c:v>
                </c:pt>
                <c:pt idx="6">
                  <c:v>UAB "Vaisiai Jums"</c:v>
                </c:pt>
              </c:strCache>
            </c:strRef>
          </c:cat>
          <c:val>
            <c:numRef>
              <c:f>Lapas1!$C$2:$C$8</c:f>
              <c:numCache>
                <c:formatCode>General</c:formatCode>
                <c:ptCount val="7"/>
                <c:pt idx="0">
                  <c:v>86.8</c:v>
                </c:pt>
                <c:pt idx="1">
                  <c:v>90.6</c:v>
                </c:pt>
                <c:pt idx="2">
                  <c:v>69.8</c:v>
                </c:pt>
                <c:pt idx="3">
                  <c:v>50.9</c:v>
                </c:pt>
                <c:pt idx="4">
                  <c:v>56.6</c:v>
                </c:pt>
                <c:pt idx="5">
                  <c:v>66</c:v>
                </c:pt>
                <c:pt idx="6">
                  <c:v>71.2</c:v>
                </c:pt>
              </c:numCache>
            </c:numRef>
          </c:val>
          <c:extLst>
            <c:ext xmlns:c16="http://schemas.microsoft.com/office/drawing/2014/chart" uri="{C3380CC4-5D6E-409C-BE32-E72D297353CC}">
              <c16:uniqueId val="{00000001-CB12-4D38-88AF-3B574762CBFD}"/>
            </c:ext>
          </c:extLst>
        </c:ser>
        <c:dLbls>
          <c:dLblPos val="outEnd"/>
          <c:showLegendKey val="0"/>
          <c:showVal val="1"/>
          <c:showCatName val="0"/>
          <c:showSerName val="0"/>
          <c:showPercent val="0"/>
          <c:showBubbleSize val="0"/>
        </c:dLbls>
        <c:gapWidth val="80"/>
        <c:overlap val="25"/>
        <c:axId val="261452895"/>
        <c:axId val="360753887"/>
      </c:barChart>
      <c:catAx>
        <c:axId val="261452895"/>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mj-lt"/>
                <a:ea typeface="+mn-ea"/>
                <a:cs typeface="Times New Roman" panose="02020603050405020304" pitchFamily="18" charset="0"/>
              </a:defRPr>
            </a:pPr>
            <a:endParaRPr lang="lt-LT"/>
          </a:p>
        </c:txPr>
        <c:crossAx val="360753887"/>
        <c:crosses val="autoZero"/>
        <c:auto val="1"/>
        <c:lblAlgn val="ctr"/>
        <c:lblOffset val="100"/>
        <c:noMultiLvlLbl val="0"/>
      </c:catAx>
      <c:valAx>
        <c:axId val="360753887"/>
        <c:scaling>
          <c:orientation val="minMax"/>
          <c:max val="100"/>
        </c:scaling>
        <c:delete val="0"/>
        <c:axPos val="l"/>
        <c:majorGridlines>
          <c:spPr>
            <a:ln w="9525" cap="flat" cmpd="sng" algn="ctr">
              <a:solidFill>
                <a:schemeClr val="tx1">
                  <a:lumMod val="5000"/>
                  <a:lumOff val="9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mj-lt"/>
                <a:ea typeface="+mn-ea"/>
                <a:cs typeface="Times New Roman" panose="02020603050405020304" pitchFamily="18" charset="0"/>
              </a:defRPr>
            </a:pPr>
            <a:endParaRPr lang="lt-LT"/>
          </a:p>
        </c:txPr>
        <c:crossAx val="26145289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Times New Roman" panose="02020603050405020304" pitchFamily="18" charset="0"/>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lgn="just">
        <a:defRPr/>
      </a:pPr>
      <a:endParaRPr lang="lt-LT"/>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00" b="0" i="0" u="none" strike="noStrike" kern="1200" cap="none" spc="50" normalizeH="0" baseline="0">
                <a:solidFill>
                  <a:schemeClr val="tx1"/>
                </a:solidFill>
                <a:latin typeface="+mj-lt"/>
                <a:ea typeface="+mj-ea"/>
                <a:cs typeface="Times New Roman" panose="02020603050405020304" pitchFamily="18" charset="0"/>
              </a:defRPr>
            </a:pPr>
            <a:r>
              <a:rPr lang="lt-LT" sz="900">
                <a:solidFill>
                  <a:schemeClr val="tx1"/>
                </a:solidFill>
                <a:latin typeface="+mj-lt"/>
                <a:cs typeface="Times New Roman" panose="02020603050405020304" pitchFamily="18" charset="0"/>
              </a:rPr>
              <a:t>Paslaugų</a:t>
            </a:r>
            <a:r>
              <a:rPr lang="lt-LT" sz="900" baseline="0">
                <a:solidFill>
                  <a:schemeClr val="tx1"/>
                </a:solidFill>
                <a:latin typeface="+mj-lt"/>
                <a:cs typeface="Times New Roman" panose="02020603050405020304" pitchFamily="18" charset="0"/>
              </a:rPr>
              <a:t> gavėjų pasiūlymų skaičius 2023 m.</a:t>
            </a:r>
            <a:endParaRPr lang="lt-LT" sz="900">
              <a:solidFill>
                <a:schemeClr val="tx1"/>
              </a:solidFill>
              <a:latin typeface="+mj-lt"/>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900" b="0" i="0" u="none" strike="noStrike" kern="1200" cap="none" spc="50" normalizeH="0" baseline="0">
              <a:solidFill>
                <a:schemeClr val="tx1"/>
              </a:solidFill>
              <a:latin typeface="+mj-lt"/>
              <a:ea typeface="+mj-ea"/>
              <a:cs typeface="Times New Roman" panose="02020603050405020304" pitchFamily="18" charset="0"/>
            </a:defRPr>
          </a:pPr>
          <a:endParaRPr lang="lt-LT"/>
        </a:p>
      </c:txPr>
    </c:title>
    <c:autoTitleDeleted val="0"/>
    <c:plotArea>
      <c:layout>
        <c:manualLayout>
          <c:layoutTarget val="inner"/>
          <c:xMode val="edge"/>
          <c:yMode val="edge"/>
          <c:x val="8.86849300087489E-2"/>
          <c:y val="0.12603174603174602"/>
          <c:w val="0.88122247739865855"/>
          <c:h val="0.44277371578552682"/>
        </c:manualLayout>
      </c:layout>
      <c:barChart>
        <c:barDir val="col"/>
        <c:grouping val="clustered"/>
        <c:varyColors val="0"/>
        <c:ser>
          <c:idx val="0"/>
          <c:order val="0"/>
          <c:tx>
            <c:strRef>
              <c:f>Lapas1!$B$1</c:f>
              <c:strCache>
                <c:ptCount val="1"/>
                <c:pt idx="0">
                  <c:v>Įgyvendinta</c:v>
                </c:pt>
              </c:strCache>
            </c:strRef>
          </c:tx>
          <c:spPr>
            <a:solidFill>
              <a:schemeClr val="accent6">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j-lt"/>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Lapas1!$A$2:$A$20</c:f>
              <c:strCache>
                <c:ptCount val="19"/>
                <c:pt idx="0">
                  <c:v>Meninė veikla</c:v>
                </c:pt>
                <c:pt idx="1">
                  <c:v>Veikla lauke</c:v>
                </c:pt>
                <c:pt idx="2">
                  <c:v>Sensorinis kambarys</c:v>
                </c:pt>
                <c:pt idx="3">
                  <c:v>Dėlionės</c:v>
                </c:pt>
                <c:pt idx="4">
                  <c:v>Maisto ruoša</c:v>
                </c:pt>
                <c:pt idx="5">
                  <c:v>Stalo žaidimai</c:v>
                </c:pt>
                <c:pt idx="6">
                  <c:v>Muzikinė veikla</c:v>
                </c:pt>
                <c:pt idx="7">
                  <c:v>Apsipirkimas parduotuvėje</c:v>
                </c:pt>
                <c:pt idx="8">
                  <c:v>Konstravimas</c:v>
                </c:pt>
                <c:pt idx="9">
                  <c:v>Supimasis supynėje</c:v>
                </c:pt>
                <c:pt idx="10">
                  <c:v>Filmukų žiūrėjimas</c:v>
                </c:pt>
                <c:pt idx="11">
                  <c:v>Išvykimas už teritorijos</c:v>
                </c:pt>
                <c:pt idx="12">
                  <c:v>Gimtadienio šventė</c:v>
                </c:pt>
                <c:pt idx="13">
                  <c:v>Siužetiniai žaidimai</c:v>
                </c:pt>
                <c:pt idx="14">
                  <c:v>Judrieji žaidimai</c:v>
                </c:pt>
                <c:pt idx="15">
                  <c:v>Maudytis baseine</c:v>
                </c:pt>
                <c:pt idx="16">
                  <c:v>Knygų skaitymas</c:v>
                </c:pt>
                <c:pt idx="17">
                  <c:v>Nesveikas maistas</c:v>
                </c:pt>
                <c:pt idx="18">
                  <c:v>Sveikas maistas</c:v>
                </c:pt>
              </c:strCache>
            </c:strRef>
          </c:cat>
          <c:val>
            <c:numRef>
              <c:f>Lapas1!$B$2:$B$20</c:f>
              <c:numCache>
                <c:formatCode>General</c:formatCode>
                <c:ptCount val="19"/>
                <c:pt idx="0">
                  <c:v>31</c:v>
                </c:pt>
                <c:pt idx="1">
                  <c:v>32</c:v>
                </c:pt>
                <c:pt idx="2">
                  <c:v>7</c:v>
                </c:pt>
                <c:pt idx="3">
                  <c:v>10</c:v>
                </c:pt>
                <c:pt idx="4">
                  <c:v>4</c:v>
                </c:pt>
                <c:pt idx="5">
                  <c:v>6</c:v>
                </c:pt>
                <c:pt idx="6">
                  <c:v>19</c:v>
                </c:pt>
                <c:pt idx="7">
                  <c:v>3</c:v>
                </c:pt>
                <c:pt idx="8">
                  <c:v>7</c:v>
                </c:pt>
                <c:pt idx="9">
                  <c:v>9</c:v>
                </c:pt>
                <c:pt idx="10">
                  <c:v>6</c:v>
                </c:pt>
                <c:pt idx="11">
                  <c:v>6</c:v>
                </c:pt>
                <c:pt idx="12">
                  <c:v>1</c:v>
                </c:pt>
                <c:pt idx="13">
                  <c:v>18</c:v>
                </c:pt>
                <c:pt idx="14">
                  <c:v>14</c:v>
                </c:pt>
                <c:pt idx="15">
                  <c:v>1</c:v>
                </c:pt>
                <c:pt idx="16">
                  <c:v>3</c:v>
                </c:pt>
                <c:pt idx="17">
                  <c:v>3</c:v>
                </c:pt>
                <c:pt idx="18">
                  <c:v>2</c:v>
                </c:pt>
              </c:numCache>
            </c:numRef>
          </c:val>
          <c:extLst>
            <c:ext xmlns:c16="http://schemas.microsoft.com/office/drawing/2014/chart" uri="{C3380CC4-5D6E-409C-BE32-E72D297353CC}">
              <c16:uniqueId val="{00000000-6103-48DF-8BAD-3D2FC9A160AE}"/>
            </c:ext>
          </c:extLst>
        </c:ser>
        <c:ser>
          <c:idx val="1"/>
          <c:order val="1"/>
          <c:tx>
            <c:strRef>
              <c:f>Lapas1!$C$1</c:f>
              <c:strCache>
                <c:ptCount val="1"/>
                <c:pt idx="0">
                  <c:v>Iš dalies įgyvendinta</c:v>
                </c:pt>
              </c:strCache>
            </c:strRef>
          </c:tx>
          <c:spPr>
            <a:solidFill>
              <a:schemeClr val="accent5">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Lapas1!$A$2:$A$20</c:f>
              <c:strCache>
                <c:ptCount val="19"/>
                <c:pt idx="0">
                  <c:v>Meninė veikla</c:v>
                </c:pt>
                <c:pt idx="1">
                  <c:v>Veikla lauke</c:v>
                </c:pt>
                <c:pt idx="2">
                  <c:v>Sensorinis kambarys</c:v>
                </c:pt>
                <c:pt idx="3">
                  <c:v>Dėlionės</c:v>
                </c:pt>
                <c:pt idx="4">
                  <c:v>Maisto ruoša</c:v>
                </c:pt>
                <c:pt idx="5">
                  <c:v>Stalo žaidimai</c:v>
                </c:pt>
                <c:pt idx="6">
                  <c:v>Muzikinė veikla</c:v>
                </c:pt>
                <c:pt idx="7">
                  <c:v>Apsipirkimas parduotuvėje</c:v>
                </c:pt>
                <c:pt idx="8">
                  <c:v>Konstravimas</c:v>
                </c:pt>
                <c:pt idx="9">
                  <c:v>Supimasis supynėje</c:v>
                </c:pt>
                <c:pt idx="10">
                  <c:v>Filmukų žiūrėjimas</c:v>
                </c:pt>
                <c:pt idx="11">
                  <c:v>Išvykimas už teritorijos</c:v>
                </c:pt>
                <c:pt idx="12">
                  <c:v>Gimtadienio šventė</c:v>
                </c:pt>
                <c:pt idx="13">
                  <c:v>Siužetiniai žaidimai</c:v>
                </c:pt>
                <c:pt idx="14">
                  <c:v>Judrieji žaidimai</c:v>
                </c:pt>
                <c:pt idx="15">
                  <c:v>Maudytis baseine</c:v>
                </c:pt>
                <c:pt idx="16">
                  <c:v>Knygų skaitymas</c:v>
                </c:pt>
                <c:pt idx="17">
                  <c:v>Nesveikas maistas</c:v>
                </c:pt>
                <c:pt idx="18">
                  <c:v>Sveikas maistas</c:v>
                </c:pt>
              </c:strCache>
            </c:strRef>
          </c:cat>
          <c:val>
            <c:numRef>
              <c:f>Lapas1!$C$2:$C$20</c:f>
              <c:numCache>
                <c:formatCode>General</c:formatCode>
                <c:ptCount val="19"/>
                <c:pt idx="15">
                  <c:v>1</c:v>
                </c:pt>
              </c:numCache>
            </c:numRef>
          </c:val>
          <c:extLst>
            <c:ext xmlns:c16="http://schemas.microsoft.com/office/drawing/2014/chart" uri="{C3380CC4-5D6E-409C-BE32-E72D297353CC}">
              <c16:uniqueId val="{00000001-6103-48DF-8BAD-3D2FC9A160AE}"/>
            </c:ext>
          </c:extLst>
        </c:ser>
        <c:ser>
          <c:idx val="2"/>
          <c:order val="2"/>
          <c:tx>
            <c:strRef>
              <c:f>Lapas1!$D$1</c:f>
              <c:strCache>
                <c:ptCount val="1"/>
                <c:pt idx="0">
                  <c:v>Neįgyvendinta</c:v>
                </c:pt>
              </c:strCache>
            </c:strRef>
          </c:tx>
          <c:spPr>
            <a:solidFill>
              <a:schemeClr val="accent4">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Lapas1!$A$2:$A$20</c:f>
              <c:strCache>
                <c:ptCount val="19"/>
                <c:pt idx="0">
                  <c:v>Meninė veikla</c:v>
                </c:pt>
                <c:pt idx="1">
                  <c:v>Veikla lauke</c:v>
                </c:pt>
                <c:pt idx="2">
                  <c:v>Sensorinis kambarys</c:v>
                </c:pt>
                <c:pt idx="3">
                  <c:v>Dėlionės</c:v>
                </c:pt>
                <c:pt idx="4">
                  <c:v>Maisto ruoša</c:v>
                </c:pt>
                <c:pt idx="5">
                  <c:v>Stalo žaidimai</c:v>
                </c:pt>
                <c:pt idx="6">
                  <c:v>Muzikinė veikla</c:v>
                </c:pt>
                <c:pt idx="7">
                  <c:v>Apsipirkimas parduotuvėje</c:v>
                </c:pt>
                <c:pt idx="8">
                  <c:v>Konstravimas</c:v>
                </c:pt>
                <c:pt idx="9">
                  <c:v>Supimasis supynėje</c:v>
                </c:pt>
                <c:pt idx="10">
                  <c:v>Filmukų žiūrėjimas</c:v>
                </c:pt>
                <c:pt idx="11">
                  <c:v>Išvykimas už teritorijos</c:v>
                </c:pt>
                <c:pt idx="12">
                  <c:v>Gimtadienio šventė</c:v>
                </c:pt>
                <c:pt idx="13">
                  <c:v>Siužetiniai žaidimai</c:v>
                </c:pt>
                <c:pt idx="14">
                  <c:v>Judrieji žaidimai</c:v>
                </c:pt>
                <c:pt idx="15">
                  <c:v>Maudytis baseine</c:v>
                </c:pt>
                <c:pt idx="16">
                  <c:v>Knygų skaitymas</c:v>
                </c:pt>
                <c:pt idx="17">
                  <c:v>Nesveikas maistas</c:v>
                </c:pt>
                <c:pt idx="18">
                  <c:v>Sveikas maistas</c:v>
                </c:pt>
              </c:strCache>
            </c:strRef>
          </c:cat>
          <c:val>
            <c:numRef>
              <c:f>Lapas1!$D$2:$D$20</c:f>
              <c:numCache>
                <c:formatCode>General</c:formatCode>
                <c:ptCount val="19"/>
                <c:pt idx="0">
                  <c:v>1</c:v>
                </c:pt>
                <c:pt idx="1">
                  <c:v>2</c:v>
                </c:pt>
                <c:pt idx="6">
                  <c:v>1</c:v>
                </c:pt>
                <c:pt idx="7">
                  <c:v>4</c:v>
                </c:pt>
                <c:pt idx="11">
                  <c:v>1</c:v>
                </c:pt>
                <c:pt idx="14">
                  <c:v>1</c:v>
                </c:pt>
                <c:pt idx="15">
                  <c:v>1</c:v>
                </c:pt>
                <c:pt idx="16">
                  <c:v>1</c:v>
                </c:pt>
                <c:pt idx="17">
                  <c:v>1</c:v>
                </c:pt>
              </c:numCache>
            </c:numRef>
          </c:val>
          <c:extLst>
            <c:ext xmlns:c16="http://schemas.microsoft.com/office/drawing/2014/chart" uri="{C3380CC4-5D6E-409C-BE32-E72D297353CC}">
              <c16:uniqueId val="{00000002-6103-48DF-8BAD-3D2FC9A160AE}"/>
            </c:ext>
          </c:extLst>
        </c:ser>
        <c:dLbls>
          <c:dLblPos val="outEnd"/>
          <c:showLegendKey val="0"/>
          <c:showVal val="1"/>
          <c:showCatName val="0"/>
          <c:showSerName val="0"/>
          <c:showPercent val="0"/>
          <c:showBubbleSize val="0"/>
        </c:dLbls>
        <c:gapWidth val="80"/>
        <c:overlap val="25"/>
        <c:axId val="826681759"/>
        <c:axId val="733662799"/>
      </c:barChart>
      <c:catAx>
        <c:axId val="826681759"/>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cap="none" spc="20" normalizeH="0" baseline="0">
                <a:solidFill>
                  <a:schemeClr val="tx1"/>
                </a:solidFill>
                <a:latin typeface="+mj-lt"/>
                <a:ea typeface="+mn-ea"/>
                <a:cs typeface="Times New Roman" panose="02020603050405020304" pitchFamily="18" charset="0"/>
              </a:defRPr>
            </a:pPr>
            <a:endParaRPr lang="lt-LT"/>
          </a:p>
        </c:txPr>
        <c:crossAx val="733662799"/>
        <c:crosses val="autoZero"/>
        <c:auto val="1"/>
        <c:lblAlgn val="ctr"/>
        <c:lblOffset val="100"/>
        <c:noMultiLvlLbl val="0"/>
      </c:catAx>
      <c:valAx>
        <c:axId val="733662799"/>
        <c:scaling>
          <c:orientation val="minMax"/>
          <c:max val="50"/>
          <c:min val="0"/>
        </c:scaling>
        <c:delete val="0"/>
        <c:axPos val="l"/>
        <c:majorGridlines>
          <c:spPr>
            <a:ln w="9525" cap="flat" cmpd="sng" algn="ctr">
              <a:solidFill>
                <a:schemeClr val="tx1">
                  <a:lumMod val="5000"/>
                  <a:lumOff val="9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solidFill>
                <a:latin typeface="+mj-lt"/>
                <a:ea typeface="+mn-ea"/>
                <a:cs typeface="Times New Roman" panose="02020603050405020304" pitchFamily="18" charset="0"/>
              </a:defRPr>
            </a:pPr>
            <a:endParaRPr lang="lt-LT"/>
          </a:p>
        </c:txPr>
        <c:crossAx val="826681759"/>
        <c:crosses val="autoZero"/>
        <c:crossBetween val="between"/>
      </c:valAx>
      <c:spPr>
        <a:noFill/>
        <a:ln>
          <a:noFill/>
        </a:ln>
        <a:effectLst/>
      </c:spPr>
    </c:plotArea>
    <c:legend>
      <c:legendPos val="b"/>
      <c:layout>
        <c:manualLayout>
          <c:xMode val="edge"/>
          <c:yMode val="edge"/>
          <c:x val="0.20985290901137357"/>
          <c:y val="0.92869617059640397"/>
          <c:w val="0.5802941819772528"/>
          <c:h val="6.668702423277424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j-lt"/>
              <a:ea typeface="+mn-ea"/>
              <a:cs typeface="Times New Roman" panose="02020603050405020304" pitchFamily="18" charset="0"/>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lt-LT"/>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00" b="0" i="0" u="none" strike="noStrike" kern="1200" cap="none" spc="50" normalizeH="0" baseline="0">
                <a:solidFill>
                  <a:sysClr val="windowText" lastClr="000000"/>
                </a:solidFill>
                <a:latin typeface="+mj-lt"/>
                <a:ea typeface="+mj-ea"/>
                <a:cs typeface="+mj-cs"/>
              </a:defRPr>
            </a:pPr>
            <a:r>
              <a:rPr lang="en-US" sz="900">
                <a:solidFill>
                  <a:sysClr val="windowText" lastClr="000000"/>
                </a:solidFill>
                <a:latin typeface="+mj-lt"/>
                <a:cs typeface="Times New Roman" panose="02020603050405020304" pitchFamily="18" charset="0"/>
              </a:rPr>
              <a:t>Paslaug</a:t>
            </a:r>
            <a:r>
              <a:rPr lang="lt-LT" sz="900">
                <a:solidFill>
                  <a:sysClr val="windowText" lastClr="000000"/>
                </a:solidFill>
                <a:latin typeface="+mj-lt"/>
                <a:cs typeface="Times New Roman" panose="02020603050405020304" pitchFamily="18" charset="0"/>
              </a:rPr>
              <a:t>ų</a:t>
            </a:r>
            <a:r>
              <a:rPr lang="lt-LT" sz="900" baseline="0">
                <a:solidFill>
                  <a:sysClr val="windowText" lastClr="000000"/>
                </a:solidFill>
                <a:latin typeface="+mj-lt"/>
                <a:cs typeface="Times New Roman" panose="02020603050405020304" pitchFamily="18" charset="0"/>
              </a:rPr>
              <a:t> gavėjų pasiūlymų skaičius 2024 m.</a:t>
            </a:r>
            <a:endParaRPr lang="lt-LT" sz="900">
              <a:solidFill>
                <a:sysClr val="windowText" lastClr="000000"/>
              </a:solidFill>
              <a:latin typeface="+mj-lt"/>
              <a:cs typeface="Times New Roman" panose="02020603050405020304" pitchFamily="18" charset="0"/>
            </a:endParaRPr>
          </a:p>
        </c:rich>
      </c:tx>
      <c:layout>
        <c:manualLayout>
          <c:xMode val="edge"/>
          <c:yMode val="edge"/>
          <c:x val="0.23205435258092735"/>
          <c:y val="2.3809523809523808E-2"/>
        </c:manualLayout>
      </c:layout>
      <c:overlay val="0"/>
      <c:spPr>
        <a:noFill/>
        <a:ln>
          <a:noFill/>
        </a:ln>
        <a:effectLst/>
      </c:spPr>
      <c:txPr>
        <a:bodyPr rot="0" spcFirstLastPara="1" vertOverflow="ellipsis" vert="horz" wrap="square" anchor="ctr" anchorCtr="1"/>
        <a:lstStyle/>
        <a:p>
          <a:pPr>
            <a:defRPr sz="900" b="0" i="0" u="none" strike="noStrike" kern="1200" cap="none" spc="50" normalizeH="0" baseline="0">
              <a:solidFill>
                <a:sysClr val="windowText" lastClr="000000"/>
              </a:solidFill>
              <a:latin typeface="+mj-lt"/>
              <a:ea typeface="+mj-ea"/>
              <a:cs typeface="+mj-cs"/>
            </a:defRPr>
          </a:pPr>
          <a:endParaRPr lang="lt-LT"/>
        </a:p>
      </c:txPr>
    </c:title>
    <c:autoTitleDeleted val="0"/>
    <c:plotArea>
      <c:layout/>
      <c:barChart>
        <c:barDir val="col"/>
        <c:grouping val="clustered"/>
        <c:varyColors val="0"/>
        <c:ser>
          <c:idx val="0"/>
          <c:order val="0"/>
          <c:tx>
            <c:strRef>
              <c:f>Lapas1!$B$1</c:f>
              <c:strCache>
                <c:ptCount val="1"/>
                <c:pt idx="0">
                  <c:v>Įgyvendinta</c:v>
                </c:pt>
              </c:strCache>
            </c:strRef>
          </c:tx>
          <c:spPr>
            <a:solidFill>
              <a:schemeClr val="accent6">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Lapas1!$A$2:$A$5</c:f>
              <c:strCache>
                <c:ptCount val="4"/>
                <c:pt idx="0">
                  <c:v>Užimtumas</c:v>
                </c:pt>
                <c:pt idx="1">
                  <c:v>Higienos ir savitvarkos įgūdžiai</c:v>
                </c:pt>
                <c:pt idx="2">
                  <c:v>Maisto įgūdžiai</c:v>
                </c:pt>
                <c:pt idx="3">
                  <c:v>Socialinė įtrauktis</c:v>
                </c:pt>
              </c:strCache>
            </c:strRef>
          </c:cat>
          <c:val>
            <c:numRef>
              <c:f>Lapas1!$B$2:$B$5</c:f>
              <c:numCache>
                <c:formatCode>General</c:formatCode>
                <c:ptCount val="4"/>
                <c:pt idx="0">
                  <c:v>838</c:v>
                </c:pt>
                <c:pt idx="1">
                  <c:v>371</c:v>
                </c:pt>
                <c:pt idx="2">
                  <c:v>309</c:v>
                </c:pt>
                <c:pt idx="3">
                  <c:v>372</c:v>
                </c:pt>
              </c:numCache>
            </c:numRef>
          </c:val>
          <c:extLst>
            <c:ext xmlns:c16="http://schemas.microsoft.com/office/drawing/2014/chart" uri="{C3380CC4-5D6E-409C-BE32-E72D297353CC}">
              <c16:uniqueId val="{00000000-078A-4EE8-BC57-7A52EAAA3745}"/>
            </c:ext>
          </c:extLst>
        </c:ser>
        <c:ser>
          <c:idx val="1"/>
          <c:order val="1"/>
          <c:tx>
            <c:strRef>
              <c:f>Lapas1!$C$1</c:f>
              <c:strCache>
                <c:ptCount val="1"/>
                <c:pt idx="0">
                  <c:v>Iš dalies įgyvendinta</c:v>
                </c:pt>
              </c:strCache>
            </c:strRef>
          </c:tx>
          <c:spPr>
            <a:solidFill>
              <a:schemeClr val="accent5">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Lapas1!$A$2:$A$5</c:f>
              <c:strCache>
                <c:ptCount val="4"/>
                <c:pt idx="0">
                  <c:v>Užimtumas</c:v>
                </c:pt>
                <c:pt idx="1">
                  <c:v>Higienos ir savitvarkos įgūdžiai</c:v>
                </c:pt>
                <c:pt idx="2">
                  <c:v>Maisto įgūdžiai</c:v>
                </c:pt>
                <c:pt idx="3">
                  <c:v>Socialinė įtrauktis</c:v>
                </c:pt>
              </c:strCache>
            </c:strRef>
          </c:cat>
          <c:val>
            <c:numRef>
              <c:f>Lapas1!$C$2:$C$5</c:f>
              <c:numCache>
                <c:formatCode>General</c:formatCode>
                <c:ptCount val="4"/>
                <c:pt idx="0">
                  <c:v>19</c:v>
                </c:pt>
                <c:pt idx="1">
                  <c:v>40</c:v>
                </c:pt>
                <c:pt idx="2">
                  <c:v>25</c:v>
                </c:pt>
                <c:pt idx="3">
                  <c:v>9</c:v>
                </c:pt>
              </c:numCache>
            </c:numRef>
          </c:val>
          <c:extLst>
            <c:ext xmlns:c16="http://schemas.microsoft.com/office/drawing/2014/chart" uri="{C3380CC4-5D6E-409C-BE32-E72D297353CC}">
              <c16:uniqueId val="{00000001-078A-4EE8-BC57-7A52EAAA3745}"/>
            </c:ext>
          </c:extLst>
        </c:ser>
        <c:ser>
          <c:idx val="2"/>
          <c:order val="2"/>
          <c:tx>
            <c:strRef>
              <c:f>Lapas1!$D$1</c:f>
              <c:strCache>
                <c:ptCount val="1"/>
                <c:pt idx="0">
                  <c:v>Neįgyvendinta</c:v>
                </c:pt>
              </c:strCache>
            </c:strRef>
          </c:tx>
          <c:spPr>
            <a:solidFill>
              <a:schemeClr val="accent4">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Lapas1!$A$2:$A$5</c:f>
              <c:strCache>
                <c:ptCount val="4"/>
                <c:pt idx="0">
                  <c:v>Užimtumas</c:v>
                </c:pt>
                <c:pt idx="1">
                  <c:v>Higienos ir savitvarkos įgūdžiai</c:v>
                </c:pt>
                <c:pt idx="2">
                  <c:v>Maisto įgūdžiai</c:v>
                </c:pt>
                <c:pt idx="3">
                  <c:v>Socialinė įtrauktis</c:v>
                </c:pt>
              </c:strCache>
            </c:strRef>
          </c:cat>
          <c:val>
            <c:numRef>
              <c:f>Lapas1!$D$2:$D$5</c:f>
              <c:numCache>
                <c:formatCode>General</c:formatCode>
                <c:ptCount val="4"/>
                <c:pt idx="0">
                  <c:v>29</c:v>
                </c:pt>
                <c:pt idx="1">
                  <c:v>9</c:v>
                </c:pt>
                <c:pt idx="2">
                  <c:v>27</c:v>
                </c:pt>
                <c:pt idx="3">
                  <c:v>70</c:v>
                </c:pt>
              </c:numCache>
            </c:numRef>
          </c:val>
          <c:extLst>
            <c:ext xmlns:c16="http://schemas.microsoft.com/office/drawing/2014/chart" uri="{C3380CC4-5D6E-409C-BE32-E72D297353CC}">
              <c16:uniqueId val="{00000002-078A-4EE8-BC57-7A52EAAA3745}"/>
            </c:ext>
          </c:extLst>
        </c:ser>
        <c:dLbls>
          <c:dLblPos val="outEnd"/>
          <c:showLegendKey val="0"/>
          <c:showVal val="1"/>
          <c:showCatName val="0"/>
          <c:showSerName val="0"/>
          <c:showPercent val="0"/>
          <c:showBubbleSize val="0"/>
        </c:dLbls>
        <c:gapWidth val="80"/>
        <c:overlap val="25"/>
        <c:axId val="826681759"/>
        <c:axId val="733662799"/>
      </c:barChart>
      <c:catAx>
        <c:axId val="826681759"/>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cap="none" spc="20" normalizeH="0" baseline="0">
                <a:solidFill>
                  <a:schemeClr val="tx1"/>
                </a:solidFill>
                <a:latin typeface="+mj-lt"/>
                <a:ea typeface="+mn-ea"/>
                <a:cs typeface="Times New Roman" panose="02020603050405020304" pitchFamily="18" charset="0"/>
              </a:defRPr>
            </a:pPr>
            <a:endParaRPr lang="lt-LT"/>
          </a:p>
        </c:txPr>
        <c:crossAx val="733662799"/>
        <c:crosses val="autoZero"/>
        <c:auto val="1"/>
        <c:lblAlgn val="ctr"/>
        <c:lblOffset val="100"/>
        <c:noMultiLvlLbl val="0"/>
      </c:catAx>
      <c:valAx>
        <c:axId val="733662799"/>
        <c:scaling>
          <c:orientation val="minMax"/>
          <c:max val="900"/>
          <c:min val="0"/>
        </c:scaling>
        <c:delete val="0"/>
        <c:axPos val="l"/>
        <c:majorGridlines>
          <c:spPr>
            <a:ln w="9525" cap="flat" cmpd="sng" algn="ctr">
              <a:solidFill>
                <a:schemeClr val="tx1">
                  <a:lumMod val="5000"/>
                  <a:lumOff val="9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solidFill>
                <a:latin typeface="+mj-lt"/>
                <a:ea typeface="+mn-ea"/>
                <a:cs typeface="Times New Roman" panose="02020603050405020304" pitchFamily="18" charset="0"/>
              </a:defRPr>
            </a:pPr>
            <a:endParaRPr lang="lt-LT"/>
          </a:p>
        </c:txPr>
        <c:crossAx val="82668175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j-lt"/>
              <a:ea typeface="+mn-ea"/>
              <a:cs typeface="Times New Roman" panose="02020603050405020304" pitchFamily="18" charset="0"/>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lt-LT"/>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0" i="0" u="none" strike="noStrike" kern="1200" cap="none" spc="50" normalizeH="0" baseline="0">
                <a:solidFill>
                  <a:schemeClr val="tx1">
                    <a:lumMod val="65000"/>
                    <a:lumOff val="35000"/>
                  </a:schemeClr>
                </a:solidFill>
                <a:latin typeface="+mj-lt"/>
                <a:ea typeface="+mj-ea"/>
                <a:cs typeface="+mj-cs"/>
              </a:defRPr>
            </a:pPr>
            <a:r>
              <a:rPr lang="en-US" sz="1000"/>
              <a:t>Pasitenkinimo gyvenimo kokybės sritimis pokytis per 202</a:t>
            </a:r>
            <a:r>
              <a:rPr lang="lt-LT" sz="1000"/>
              <a:t>4</a:t>
            </a:r>
            <a:r>
              <a:rPr lang="en-US" sz="1000"/>
              <a:t> m.</a:t>
            </a:r>
            <a:r>
              <a:rPr lang="lt-LT" sz="1000"/>
              <a:t> procentine išraiška</a:t>
            </a:r>
            <a:endParaRPr lang="en-US" sz="1000"/>
          </a:p>
        </c:rich>
      </c:tx>
      <c:layout>
        <c:manualLayout>
          <c:xMode val="edge"/>
          <c:yMode val="edge"/>
          <c:x val="0.11765140324963072"/>
          <c:y val="3.3898305084745763E-2"/>
        </c:manualLayout>
      </c:layout>
      <c:overlay val="0"/>
      <c:spPr>
        <a:noFill/>
        <a:ln>
          <a:noFill/>
        </a:ln>
        <a:effectLst/>
      </c:spPr>
      <c:txPr>
        <a:bodyPr rot="0" spcFirstLastPara="1" vertOverflow="ellipsis" vert="horz" wrap="square" anchor="ctr" anchorCtr="1"/>
        <a:lstStyle/>
        <a:p>
          <a:pPr>
            <a:defRPr sz="1000" b="0" i="0" u="none" strike="noStrike" kern="1200" cap="none" spc="50" normalizeH="0" baseline="0">
              <a:solidFill>
                <a:schemeClr val="tx1">
                  <a:lumMod val="65000"/>
                  <a:lumOff val="35000"/>
                </a:schemeClr>
              </a:solidFill>
              <a:latin typeface="+mj-lt"/>
              <a:ea typeface="+mj-ea"/>
              <a:cs typeface="+mj-cs"/>
            </a:defRPr>
          </a:pPr>
          <a:endParaRPr lang="lt-LT"/>
        </a:p>
      </c:txPr>
    </c:title>
    <c:autoTitleDeleted val="0"/>
    <c:plotArea>
      <c:layout/>
      <c:barChart>
        <c:barDir val="col"/>
        <c:grouping val="clustered"/>
        <c:varyColors val="0"/>
        <c:ser>
          <c:idx val="0"/>
          <c:order val="0"/>
          <c:tx>
            <c:strRef>
              <c:f>Lapas1!$B$1</c:f>
              <c:strCache>
                <c:ptCount val="1"/>
                <c:pt idx="0">
                  <c:v>Socialinis aktyvumas</c:v>
                </c:pt>
              </c:strCache>
            </c:strRef>
          </c:tx>
          <c:spPr>
            <a:solidFill>
              <a:schemeClr val="accent1">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Lapas1!$A$2:$A$5</c:f>
              <c:strCache>
                <c:ptCount val="2"/>
                <c:pt idx="0">
                  <c:v>2023 m.</c:v>
                </c:pt>
                <c:pt idx="1">
                  <c:v>2024 m.</c:v>
                </c:pt>
              </c:strCache>
            </c:strRef>
          </c:cat>
          <c:val>
            <c:numRef>
              <c:f>Lapas1!$B$2:$B$5</c:f>
              <c:numCache>
                <c:formatCode>General</c:formatCode>
                <c:ptCount val="4"/>
                <c:pt idx="0">
                  <c:v>71</c:v>
                </c:pt>
                <c:pt idx="1">
                  <c:v>70</c:v>
                </c:pt>
              </c:numCache>
            </c:numRef>
          </c:val>
          <c:extLst>
            <c:ext xmlns:c16="http://schemas.microsoft.com/office/drawing/2014/chart" uri="{C3380CC4-5D6E-409C-BE32-E72D297353CC}">
              <c16:uniqueId val="{00000000-9A3F-4BA5-A874-8EE74C347A86}"/>
            </c:ext>
          </c:extLst>
        </c:ser>
        <c:ser>
          <c:idx val="1"/>
          <c:order val="1"/>
          <c:tx>
            <c:strRef>
              <c:f>Lapas1!$C$1</c:f>
              <c:strCache>
                <c:ptCount val="1"/>
                <c:pt idx="0">
                  <c:v>Fizinė ie emocinė gerovė</c:v>
                </c:pt>
              </c:strCache>
            </c:strRef>
          </c:tx>
          <c:spPr>
            <a:solidFill>
              <a:schemeClr val="accent2">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Lapas1!$A$2:$A$5</c:f>
              <c:strCache>
                <c:ptCount val="2"/>
                <c:pt idx="0">
                  <c:v>2023 m.</c:v>
                </c:pt>
                <c:pt idx="1">
                  <c:v>2024 m.</c:v>
                </c:pt>
              </c:strCache>
            </c:strRef>
          </c:cat>
          <c:val>
            <c:numRef>
              <c:f>Lapas1!$C$2:$C$5</c:f>
              <c:numCache>
                <c:formatCode>General</c:formatCode>
                <c:ptCount val="4"/>
                <c:pt idx="0">
                  <c:v>88</c:v>
                </c:pt>
                <c:pt idx="1">
                  <c:v>85</c:v>
                </c:pt>
              </c:numCache>
            </c:numRef>
          </c:val>
          <c:extLst>
            <c:ext xmlns:c16="http://schemas.microsoft.com/office/drawing/2014/chart" uri="{C3380CC4-5D6E-409C-BE32-E72D297353CC}">
              <c16:uniqueId val="{00000001-9A3F-4BA5-A874-8EE74C347A86}"/>
            </c:ext>
          </c:extLst>
        </c:ser>
        <c:ser>
          <c:idx val="2"/>
          <c:order val="2"/>
          <c:tx>
            <c:strRef>
              <c:f>Lapas1!$D$1</c:f>
              <c:strCache>
                <c:ptCount val="1"/>
                <c:pt idx="0">
                  <c:v>Savarankiškumas</c:v>
                </c:pt>
              </c:strCache>
            </c:strRef>
          </c:tx>
          <c:spPr>
            <a:solidFill>
              <a:srgbClr val="B482DA">
                <a:alpha val="74118"/>
              </a:srgb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Lapas1!$A$2:$A$5</c:f>
              <c:strCache>
                <c:ptCount val="2"/>
                <c:pt idx="0">
                  <c:v>2023 m.</c:v>
                </c:pt>
                <c:pt idx="1">
                  <c:v>2024 m.</c:v>
                </c:pt>
              </c:strCache>
            </c:strRef>
          </c:cat>
          <c:val>
            <c:numRef>
              <c:f>Lapas1!$D$2:$D$5</c:f>
              <c:numCache>
                <c:formatCode>General</c:formatCode>
                <c:ptCount val="4"/>
                <c:pt idx="0">
                  <c:v>78</c:v>
                </c:pt>
                <c:pt idx="1">
                  <c:v>81</c:v>
                </c:pt>
              </c:numCache>
            </c:numRef>
          </c:val>
          <c:extLst>
            <c:ext xmlns:c16="http://schemas.microsoft.com/office/drawing/2014/chart" uri="{C3380CC4-5D6E-409C-BE32-E72D297353CC}">
              <c16:uniqueId val="{00000002-9A3F-4BA5-A874-8EE74C347A86}"/>
            </c:ext>
          </c:extLst>
        </c:ser>
        <c:dLbls>
          <c:showLegendKey val="0"/>
          <c:showVal val="0"/>
          <c:showCatName val="0"/>
          <c:showSerName val="0"/>
          <c:showPercent val="0"/>
          <c:showBubbleSize val="0"/>
        </c:dLbls>
        <c:gapWidth val="80"/>
        <c:overlap val="25"/>
        <c:axId val="306743999"/>
        <c:axId val="181609359"/>
      </c:barChart>
      <c:catAx>
        <c:axId val="306743999"/>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cap="none" spc="20" normalizeH="0" baseline="0">
                <a:solidFill>
                  <a:schemeClr val="tx1">
                    <a:lumMod val="65000"/>
                    <a:lumOff val="35000"/>
                  </a:schemeClr>
                </a:solidFill>
                <a:latin typeface="+mn-lt"/>
                <a:ea typeface="+mn-ea"/>
                <a:cs typeface="+mn-cs"/>
              </a:defRPr>
            </a:pPr>
            <a:endParaRPr lang="lt-LT"/>
          </a:p>
        </c:txPr>
        <c:crossAx val="181609359"/>
        <c:crosses val="autoZero"/>
        <c:auto val="1"/>
        <c:lblAlgn val="ctr"/>
        <c:lblOffset val="100"/>
        <c:noMultiLvlLbl val="0"/>
      </c:catAx>
      <c:valAx>
        <c:axId val="181609359"/>
        <c:scaling>
          <c:orientation val="minMax"/>
        </c:scaling>
        <c:delete val="0"/>
        <c:axPos val="l"/>
        <c:majorGridlines>
          <c:spPr>
            <a:ln w="9525" cap="flat" cmpd="sng" algn="ctr">
              <a:solidFill>
                <a:schemeClr val="tx1">
                  <a:lumMod val="5000"/>
                  <a:lumOff val="9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spc="20" baseline="0">
                <a:solidFill>
                  <a:schemeClr val="tx1">
                    <a:lumMod val="65000"/>
                    <a:lumOff val="35000"/>
                  </a:schemeClr>
                </a:solidFill>
                <a:latin typeface="+mn-lt"/>
                <a:ea typeface="+mn-ea"/>
                <a:cs typeface="+mn-cs"/>
              </a:defRPr>
            </a:pPr>
            <a:endParaRPr lang="lt-LT"/>
          </a:p>
        </c:txPr>
        <c:crossAx val="30674399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lt-LT"/>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j-lt"/>
                <a:ea typeface="+mn-ea"/>
                <a:cs typeface="Times New Roman" panose="02020603050405020304" pitchFamily="18" charset="0"/>
              </a:defRPr>
            </a:pPr>
            <a:r>
              <a:rPr lang="lt-LT" sz="1000">
                <a:latin typeface="+mj-lt"/>
                <a:cs typeface="Times New Roman" panose="02020603050405020304" pitchFamily="18" charset="0"/>
              </a:rPr>
              <a:t>Paslaugų gavėjų įtraukimas į ISGP rengimą</a:t>
            </a:r>
          </a:p>
        </c:rich>
      </c:tx>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mj-lt"/>
              <a:ea typeface="+mn-ea"/>
              <a:cs typeface="Times New Roman" panose="02020603050405020304" pitchFamily="18" charset="0"/>
            </a:defRPr>
          </a:pPr>
          <a:endParaRPr lang="lt-LT"/>
        </a:p>
      </c:txPr>
    </c:title>
    <c:autoTitleDeleted val="0"/>
    <c:plotArea>
      <c:layout/>
      <c:barChart>
        <c:barDir val="col"/>
        <c:grouping val="clustered"/>
        <c:varyColors val="0"/>
        <c:ser>
          <c:idx val="3"/>
          <c:order val="3"/>
          <c:tx>
            <c:strRef>
              <c:f>Sheet1!$E$18</c:f>
              <c:strCache>
                <c:ptCount val="1"/>
                <c:pt idx="0">
                  <c:v>2023</c:v>
                </c:pt>
              </c:strCache>
            </c:strRef>
          </c:tx>
          <c:spPr>
            <a:solidFill>
              <a:srgbClr val="FFCC66"/>
            </a:solidFill>
            <a:ln>
              <a:solidFill>
                <a:schemeClr val="accent1">
                  <a:lumMod val="40000"/>
                  <a:lumOff val="60000"/>
                </a:schemeClr>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Sheet1!$A$19:$A$22</c:f>
              <c:strCache>
                <c:ptCount val="4"/>
                <c:pt idx="0">
                  <c:v>ISGP sudarytas su specialistų pagalba, paslaugų gavėjui verbaliai įvardinant savo poreikius</c:v>
                </c:pt>
                <c:pt idx="1">
                  <c:v>ISGP sudarytas su specialistų pagalba, paslaugų gavėjui  įvardinant savo poreikius alternatyviosios komunikacijos priemonėmis</c:v>
                </c:pt>
                <c:pt idx="2">
                  <c:v>ISGP sudarytas su specialistų  pagalba stebint paslaugų gavėją</c:v>
                </c:pt>
                <c:pt idx="3">
                  <c:v>ISGP sudarytas įvardinant savo poreikius augmentine komunikacija</c:v>
                </c:pt>
              </c:strCache>
            </c:strRef>
          </c:cat>
          <c:val>
            <c:numRef>
              <c:f>Sheet1!$E$19:$E$22</c:f>
              <c:numCache>
                <c:formatCode>General</c:formatCode>
                <c:ptCount val="4"/>
                <c:pt idx="0">
                  <c:v>60</c:v>
                </c:pt>
                <c:pt idx="1">
                  <c:v>41</c:v>
                </c:pt>
                <c:pt idx="2">
                  <c:v>61</c:v>
                </c:pt>
                <c:pt idx="3">
                  <c:v>25</c:v>
                </c:pt>
              </c:numCache>
            </c:numRef>
          </c:val>
          <c:extLst>
            <c:ext xmlns:c16="http://schemas.microsoft.com/office/drawing/2014/chart" uri="{C3380CC4-5D6E-409C-BE32-E72D297353CC}">
              <c16:uniqueId val="{00000000-6A54-479C-A78A-3F44645DAC76}"/>
            </c:ext>
          </c:extLst>
        </c:ser>
        <c:ser>
          <c:idx val="4"/>
          <c:order val="4"/>
          <c:tx>
            <c:strRef>
              <c:f>Sheet1!$F$18</c:f>
              <c:strCache>
                <c:ptCount val="1"/>
                <c:pt idx="0">
                  <c:v>2024</c:v>
                </c:pt>
              </c:strCache>
            </c:strRef>
          </c:tx>
          <c:spPr>
            <a:solidFill>
              <a:srgbClr val="CC99FF"/>
            </a:solidFill>
            <a:ln>
              <a:solidFill>
                <a:srgbClr val="CC99FF"/>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Sheet1!$A$19:$A$22</c:f>
              <c:strCache>
                <c:ptCount val="4"/>
                <c:pt idx="0">
                  <c:v>ISGP sudarytas su specialistų pagalba, paslaugų gavėjui verbaliai įvardinant savo poreikius</c:v>
                </c:pt>
                <c:pt idx="1">
                  <c:v>ISGP sudarytas su specialistų pagalba, paslaugų gavėjui  įvardinant savo poreikius alternatyviosios komunikacijos priemonėmis</c:v>
                </c:pt>
                <c:pt idx="2">
                  <c:v>ISGP sudarytas su specialistų  pagalba stebint paslaugų gavėją</c:v>
                </c:pt>
                <c:pt idx="3">
                  <c:v>ISGP sudarytas įvardinant savo poreikius augmentine komunikacija</c:v>
                </c:pt>
              </c:strCache>
            </c:strRef>
          </c:cat>
          <c:val>
            <c:numRef>
              <c:f>Sheet1!$F$19:$F$22</c:f>
              <c:numCache>
                <c:formatCode>General</c:formatCode>
                <c:ptCount val="4"/>
                <c:pt idx="0">
                  <c:v>65</c:v>
                </c:pt>
                <c:pt idx="1">
                  <c:v>43</c:v>
                </c:pt>
                <c:pt idx="2">
                  <c:v>58</c:v>
                </c:pt>
                <c:pt idx="3">
                  <c:v>26</c:v>
                </c:pt>
              </c:numCache>
            </c:numRef>
          </c:val>
          <c:extLst>
            <c:ext xmlns:c16="http://schemas.microsoft.com/office/drawing/2014/chart" uri="{C3380CC4-5D6E-409C-BE32-E72D297353CC}">
              <c16:uniqueId val="{00000001-6A54-479C-A78A-3F44645DAC76}"/>
            </c:ext>
          </c:extLst>
        </c:ser>
        <c:dLbls>
          <c:dLblPos val="outEnd"/>
          <c:showLegendKey val="0"/>
          <c:showVal val="1"/>
          <c:showCatName val="0"/>
          <c:showSerName val="0"/>
          <c:showPercent val="0"/>
          <c:showBubbleSize val="0"/>
        </c:dLbls>
        <c:gapWidth val="219"/>
        <c:overlap val="-27"/>
        <c:axId val="1714762416"/>
        <c:axId val="1723308400"/>
        <c:extLst>
          <c:ext xmlns:c15="http://schemas.microsoft.com/office/drawing/2012/chart" uri="{02D57815-91ED-43cb-92C2-25804820EDAC}">
            <c15:filteredBarSeries>
              <c15:ser>
                <c:idx val="0"/>
                <c:order val="0"/>
                <c:tx>
                  <c:strRef>
                    <c:extLst>
                      <c:ext uri="{02D57815-91ED-43cb-92C2-25804820EDAC}">
                        <c15:formulaRef>
                          <c15:sqref>Sheet1!$B$18</c15:sqref>
                        </c15:formulaRef>
                      </c:ext>
                    </c:extLst>
                    <c:strCache>
                      <c:ptCount val="1"/>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Sheet1!$A$19:$A$22</c15:sqref>
                        </c15:formulaRef>
                      </c:ext>
                    </c:extLst>
                    <c:strCache>
                      <c:ptCount val="4"/>
                      <c:pt idx="0">
                        <c:v>ISGP sudarytas su specialistų pagalba, paslaugų gavėjui verbaliai įvardinant savo poreikius</c:v>
                      </c:pt>
                      <c:pt idx="1">
                        <c:v>ISGP sudarytas su specialistų pagalba, paslaugų gavėjui  įvardinant savo poreikius alternatyviosios komunikacijos priemonėmis</c:v>
                      </c:pt>
                      <c:pt idx="2">
                        <c:v>ISGP sudarytas su specialistų  pagalba stebint paslaugų gavėją</c:v>
                      </c:pt>
                      <c:pt idx="3">
                        <c:v>ISGP sudarytas įvardinant savo poreikius augmentine komunikacija</c:v>
                      </c:pt>
                    </c:strCache>
                  </c:strRef>
                </c:cat>
                <c:val>
                  <c:numRef>
                    <c:extLst>
                      <c:ext uri="{02D57815-91ED-43cb-92C2-25804820EDAC}">
                        <c15:formulaRef>
                          <c15:sqref>Sheet1!$B$19:$B$22</c15:sqref>
                        </c15:formulaRef>
                      </c:ext>
                    </c:extLst>
                    <c:numCache>
                      <c:formatCode>General</c:formatCode>
                      <c:ptCount val="4"/>
                    </c:numCache>
                  </c:numRef>
                </c:val>
                <c:extLst>
                  <c:ext xmlns:c16="http://schemas.microsoft.com/office/drawing/2014/chart" uri="{C3380CC4-5D6E-409C-BE32-E72D297353CC}">
                    <c16:uniqueId val="{00000002-6A54-479C-A78A-3F44645DAC76}"/>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Sheet1!$C$18</c15:sqref>
                        </c15:formulaRef>
                      </c:ext>
                    </c:extLst>
                    <c:strCache>
                      <c:ptCount val="1"/>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Sheet1!$A$19:$A$22</c15:sqref>
                        </c15:formulaRef>
                      </c:ext>
                    </c:extLst>
                    <c:strCache>
                      <c:ptCount val="4"/>
                      <c:pt idx="0">
                        <c:v>ISGP sudarytas su specialistų pagalba, paslaugų gavėjui verbaliai įvardinant savo poreikius</c:v>
                      </c:pt>
                      <c:pt idx="1">
                        <c:v>ISGP sudarytas su specialistų pagalba, paslaugų gavėjui  įvardinant savo poreikius alternatyviosios komunikacijos priemonėmis</c:v>
                      </c:pt>
                      <c:pt idx="2">
                        <c:v>ISGP sudarytas su specialistų  pagalba stebint paslaugų gavėją</c:v>
                      </c:pt>
                      <c:pt idx="3">
                        <c:v>ISGP sudarytas įvardinant savo poreikius augmentine komunikacija</c:v>
                      </c:pt>
                    </c:strCache>
                  </c:strRef>
                </c:cat>
                <c:val>
                  <c:numRef>
                    <c:extLst xmlns:c15="http://schemas.microsoft.com/office/drawing/2012/chart">
                      <c:ext xmlns:c15="http://schemas.microsoft.com/office/drawing/2012/chart" uri="{02D57815-91ED-43cb-92C2-25804820EDAC}">
                        <c15:formulaRef>
                          <c15:sqref>Sheet1!$C$19:$C$22</c15:sqref>
                        </c15:formulaRef>
                      </c:ext>
                    </c:extLst>
                    <c:numCache>
                      <c:formatCode>General</c:formatCode>
                      <c:ptCount val="4"/>
                    </c:numCache>
                  </c:numRef>
                </c:val>
                <c:extLst xmlns:c15="http://schemas.microsoft.com/office/drawing/2012/chart">
                  <c:ext xmlns:c16="http://schemas.microsoft.com/office/drawing/2014/chart" uri="{C3380CC4-5D6E-409C-BE32-E72D297353CC}">
                    <c16:uniqueId val="{00000003-6A54-479C-A78A-3F44645DAC76}"/>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Sheet1!$D$18</c15:sqref>
                        </c15:formulaRef>
                      </c:ext>
                    </c:extLst>
                    <c:strCache>
                      <c:ptCount val="1"/>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Sheet1!$A$19:$A$22</c15:sqref>
                        </c15:formulaRef>
                      </c:ext>
                    </c:extLst>
                    <c:strCache>
                      <c:ptCount val="4"/>
                      <c:pt idx="0">
                        <c:v>ISGP sudarytas su specialistų pagalba, paslaugų gavėjui verbaliai įvardinant savo poreikius</c:v>
                      </c:pt>
                      <c:pt idx="1">
                        <c:v>ISGP sudarytas su specialistų pagalba, paslaugų gavėjui  įvardinant savo poreikius alternatyviosios komunikacijos priemonėmis</c:v>
                      </c:pt>
                      <c:pt idx="2">
                        <c:v>ISGP sudarytas su specialistų  pagalba stebint paslaugų gavėją</c:v>
                      </c:pt>
                      <c:pt idx="3">
                        <c:v>ISGP sudarytas įvardinant savo poreikius augmentine komunikacija</c:v>
                      </c:pt>
                    </c:strCache>
                  </c:strRef>
                </c:cat>
                <c:val>
                  <c:numRef>
                    <c:extLst xmlns:c15="http://schemas.microsoft.com/office/drawing/2012/chart">
                      <c:ext xmlns:c15="http://schemas.microsoft.com/office/drawing/2012/chart" uri="{02D57815-91ED-43cb-92C2-25804820EDAC}">
                        <c15:formulaRef>
                          <c15:sqref>Sheet1!$D$19:$D$22</c15:sqref>
                        </c15:formulaRef>
                      </c:ext>
                    </c:extLst>
                    <c:numCache>
                      <c:formatCode>General</c:formatCode>
                      <c:ptCount val="4"/>
                    </c:numCache>
                  </c:numRef>
                </c:val>
                <c:extLst xmlns:c15="http://schemas.microsoft.com/office/drawing/2012/chart">
                  <c:ext xmlns:c16="http://schemas.microsoft.com/office/drawing/2014/chart" uri="{C3380CC4-5D6E-409C-BE32-E72D297353CC}">
                    <c16:uniqueId val="{00000004-6A54-479C-A78A-3F44645DAC76}"/>
                  </c:ext>
                </c:extLst>
              </c15:ser>
            </c15:filteredBarSeries>
          </c:ext>
        </c:extLst>
      </c:barChart>
      <c:catAx>
        <c:axId val="1714762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Times New Roman" panose="02020603050405020304" pitchFamily="18" charset="0"/>
              </a:defRPr>
            </a:pPr>
            <a:endParaRPr lang="lt-LT"/>
          </a:p>
        </c:txPr>
        <c:crossAx val="1723308400"/>
        <c:crosses val="autoZero"/>
        <c:auto val="1"/>
        <c:lblAlgn val="ctr"/>
        <c:lblOffset val="100"/>
        <c:noMultiLvlLbl val="0"/>
      </c:catAx>
      <c:valAx>
        <c:axId val="17233084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Times New Roman" panose="02020603050405020304" pitchFamily="18" charset="0"/>
              </a:defRPr>
            </a:pPr>
            <a:endParaRPr lang="lt-LT"/>
          </a:p>
        </c:txPr>
        <c:crossAx val="17147624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Times New Roman" panose="02020603050405020304" pitchFamily="18" charset="0"/>
            </a:defRPr>
          </a:pPr>
          <a:endParaRPr lang="lt-LT"/>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0" i="0" u="none" strike="noStrike" kern="1200" cap="none" spc="50" normalizeH="0" baseline="0">
                <a:solidFill>
                  <a:schemeClr val="tx1">
                    <a:lumMod val="65000"/>
                    <a:lumOff val="35000"/>
                  </a:schemeClr>
                </a:solidFill>
                <a:latin typeface="+mj-lt"/>
                <a:ea typeface="+mj-ea"/>
                <a:cs typeface="+mj-cs"/>
              </a:defRPr>
            </a:pPr>
            <a:r>
              <a:rPr lang="en-US" sz="1000">
                <a:latin typeface="+mj-lt"/>
                <a:cs typeface="Times New Roman" panose="02020603050405020304" pitchFamily="18" charset="0"/>
              </a:rPr>
              <a:t>Paslaug</a:t>
            </a:r>
            <a:r>
              <a:rPr lang="lt-LT" sz="1000">
                <a:latin typeface="+mj-lt"/>
                <a:cs typeface="Times New Roman" panose="02020603050405020304" pitchFamily="18" charset="0"/>
              </a:rPr>
              <a:t>ų</a:t>
            </a:r>
            <a:r>
              <a:rPr lang="lt-LT" sz="1000" baseline="0">
                <a:latin typeface="+mj-lt"/>
                <a:cs typeface="Times New Roman" panose="02020603050405020304" pitchFamily="18" charset="0"/>
              </a:rPr>
              <a:t> tęstinumas</a:t>
            </a:r>
            <a:endParaRPr lang="en-US" sz="1000">
              <a:latin typeface="+mj-lt"/>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cap="none" spc="50" normalizeH="0" baseline="0">
              <a:solidFill>
                <a:schemeClr val="tx1">
                  <a:lumMod val="65000"/>
                  <a:lumOff val="35000"/>
                </a:schemeClr>
              </a:solidFill>
              <a:latin typeface="+mj-lt"/>
              <a:ea typeface="+mj-ea"/>
              <a:cs typeface="+mj-cs"/>
            </a:defRPr>
          </a:pPr>
          <a:endParaRPr lang="lt-LT"/>
        </a:p>
      </c:txPr>
    </c:title>
    <c:autoTitleDeleted val="0"/>
    <c:plotArea>
      <c:layout/>
      <c:barChart>
        <c:barDir val="col"/>
        <c:grouping val="clustered"/>
        <c:varyColors val="0"/>
        <c:ser>
          <c:idx val="0"/>
          <c:order val="0"/>
          <c:tx>
            <c:strRef>
              <c:f>Lapas1!$B$1</c:f>
              <c:strCache>
                <c:ptCount val="1"/>
                <c:pt idx="0">
                  <c:v>2023 m.</c:v>
                </c:pt>
              </c:strCache>
            </c:strRef>
          </c:tx>
          <c:spPr>
            <a:solidFill>
              <a:srgbClr val="7030A0">
                <a:alpha val="42000"/>
              </a:srgbClr>
            </a:solidFill>
            <a:ln>
              <a:noFill/>
            </a:ln>
            <a:effectLst/>
          </c:spPr>
          <c:invertIfNegative val="0"/>
          <c:dLbls>
            <c:dLbl>
              <c:idx val="0"/>
              <c:tx>
                <c:rich>
                  <a:bodyPr/>
                  <a:lstStyle/>
                  <a:p>
                    <a:r>
                      <a:rPr lang="en-US"/>
                      <a:t>8</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18F-4FC3-BF61-410B1052E0A1}"/>
                </c:ext>
              </c:extLst>
            </c:dLbl>
            <c:dLbl>
              <c:idx val="2"/>
              <c:tx>
                <c:rich>
                  <a:bodyPr/>
                  <a:lstStyle/>
                  <a:p>
                    <a:r>
                      <a:rPr lang="en-US"/>
                      <a:t>11</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18F-4FC3-BF61-410B1052E0A1}"/>
                </c:ext>
              </c:extLst>
            </c:dLbl>
            <c:dLbl>
              <c:idx val="4"/>
              <c:tx>
                <c:rich>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mn-cs"/>
                      </a:defRPr>
                    </a:pPr>
                    <a:endParaRPr lang="en-US">
                      <a:latin typeface="+mj-lt"/>
                    </a:endParaRPr>
                  </a:p>
                  <a:p>
                    <a:pPr>
                      <a:defRPr>
                        <a:latin typeface="+mj-lt"/>
                      </a:defRPr>
                    </a:pPr>
                    <a:r>
                      <a:rPr lang="en-US">
                        <a:latin typeface="+mj-lt"/>
                      </a:rPr>
                      <a:t>1</a:t>
                    </a:r>
                  </a:p>
                </c:rich>
              </c:tx>
              <c:numFmt formatCode="#,##0.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mn-cs"/>
                    </a:defRPr>
                  </a:pPr>
                  <a:endParaRPr lang="lt-LT"/>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18F-4FC3-BF61-410B1052E0A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Lapas1!$A$2:$A$7</c:f>
              <c:strCache>
                <c:ptCount val="5"/>
                <c:pt idx="0">
                  <c:v>PG nukreipta į PPT</c:v>
                </c:pt>
                <c:pt idx="2">
                  <c:v>PG nukreipta į ANTĄ</c:v>
                </c:pt>
                <c:pt idx="4">
                  <c:v>Palaikomasis ryšys su buvusiais Įstaigos PG</c:v>
                </c:pt>
              </c:strCache>
            </c:strRef>
          </c:cat>
          <c:val>
            <c:numRef>
              <c:f>Lapas1!$B$2:$B$7</c:f>
              <c:numCache>
                <c:formatCode>General</c:formatCode>
                <c:ptCount val="6"/>
                <c:pt idx="0" formatCode="0%">
                  <c:v>8</c:v>
                </c:pt>
                <c:pt idx="2" formatCode="0%">
                  <c:v>11</c:v>
                </c:pt>
                <c:pt idx="4" formatCode="0%">
                  <c:v>1</c:v>
                </c:pt>
              </c:numCache>
            </c:numRef>
          </c:val>
          <c:extLst>
            <c:ext xmlns:c16="http://schemas.microsoft.com/office/drawing/2014/chart" uri="{C3380CC4-5D6E-409C-BE32-E72D297353CC}">
              <c16:uniqueId val="{00000003-018F-4FC3-BF61-410B1052E0A1}"/>
            </c:ext>
          </c:extLst>
        </c:ser>
        <c:ser>
          <c:idx val="1"/>
          <c:order val="1"/>
          <c:tx>
            <c:strRef>
              <c:f>Lapas1!$C$1</c:f>
              <c:strCache>
                <c:ptCount val="1"/>
                <c:pt idx="0">
                  <c:v>2024 m.</c:v>
                </c:pt>
              </c:strCache>
            </c:strRef>
          </c:tx>
          <c:spPr>
            <a:solidFill>
              <a:srgbClr val="F4B183">
                <a:alpha val="93000"/>
              </a:srgbClr>
            </a:solidFill>
            <a:ln>
              <a:noFill/>
            </a:ln>
            <a:effectLst/>
          </c:spPr>
          <c:invertIfNegative val="0"/>
          <c:dLbls>
            <c:dLbl>
              <c:idx val="0"/>
              <c:tx>
                <c:rich>
                  <a:bodyPr/>
                  <a:lstStyle/>
                  <a:p>
                    <a:r>
                      <a:rPr lang="en-US"/>
                      <a:t>8</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18F-4FC3-BF61-410B1052E0A1}"/>
                </c:ext>
              </c:extLst>
            </c:dLbl>
            <c:dLbl>
              <c:idx val="2"/>
              <c:tx>
                <c:rich>
                  <a:bodyPr/>
                  <a:lstStyle/>
                  <a:p>
                    <a:r>
                      <a:rPr lang="en-US"/>
                      <a:t>6</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18F-4FC3-BF61-410B1052E0A1}"/>
                </c:ext>
              </c:extLst>
            </c:dLbl>
            <c:dLbl>
              <c:idx val="4"/>
              <c:tx>
                <c:rich>
                  <a:bodyPr/>
                  <a:lstStyle/>
                  <a:p>
                    <a:r>
                      <a:rPr lang="en-US"/>
                      <a:t>1</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018F-4FC3-BF61-410B1052E0A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Lapas1!$A$2:$A$7</c:f>
              <c:strCache>
                <c:ptCount val="5"/>
                <c:pt idx="0">
                  <c:v>PG nukreipta į PPT</c:v>
                </c:pt>
                <c:pt idx="2">
                  <c:v>PG nukreipta į ANTĄ</c:v>
                </c:pt>
                <c:pt idx="4">
                  <c:v>Palaikomasis ryšys su buvusiais Įstaigos PG</c:v>
                </c:pt>
              </c:strCache>
            </c:strRef>
          </c:cat>
          <c:val>
            <c:numRef>
              <c:f>Lapas1!$C$2:$C$7</c:f>
              <c:numCache>
                <c:formatCode>General</c:formatCode>
                <c:ptCount val="6"/>
                <c:pt idx="0" formatCode="0%">
                  <c:v>8</c:v>
                </c:pt>
                <c:pt idx="2" formatCode="0%">
                  <c:v>6</c:v>
                </c:pt>
                <c:pt idx="4" formatCode="0%">
                  <c:v>1</c:v>
                </c:pt>
              </c:numCache>
            </c:numRef>
          </c:val>
          <c:extLst>
            <c:ext xmlns:c16="http://schemas.microsoft.com/office/drawing/2014/chart" uri="{C3380CC4-5D6E-409C-BE32-E72D297353CC}">
              <c16:uniqueId val="{00000007-018F-4FC3-BF61-410B1052E0A1}"/>
            </c:ext>
          </c:extLst>
        </c:ser>
        <c:ser>
          <c:idx val="2"/>
          <c:order val="2"/>
          <c:tx>
            <c:strRef>
              <c:f>Lapas1!$D$1</c:f>
              <c:strCache>
                <c:ptCount val="1"/>
                <c:pt idx="0">
                  <c:v>Stulpelis1</c:v>
                </c:pt>
              </c:strCache>
            </c:strRef>
          </c:tx>
          <c:spPr>
            <a:solidFill>
              <a:schemeClr val="accent3">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Lapas1!$A$2:$A$7</c:f>
              <c:strCache>
                <c:ptCount val="5"/>
                <c:pt idx="0">
                  <c:v>PG nukreipta į PPT</c:v>
                </c:pt>
                <c:pt idx="2">
                  <c:v>PG nukreipta į ANTĄ</c:v>
                </c:pt>
                <c:pt idx="4">
                  <c:v>Palaikomasis ryšys su buvusiais Įstaigos PG</c:v>
                </c:pt>
              </c:strCache>
            </c:strRef>
          </c:cat>
          <c:val>
            <c:numRef>
              <c:f>Lapas1!$D$2:$D$7</c:f>
            </c:numRef>
          </c:val>
          <c:extLst>
            <c:ext xmlns:c16="http://schemas.microsoft.com/office/drawing/2014/chart" uri="{C3380CC4-5D6E-409C-BE32-E72D297353CC}">
              <c16:uniqueId val="{00000008-018F-4FC3-BF61-410B1052E0A1}"/>
            </c:ext>
          </c:extLst>
        </c:ser>
        <c:dLbls>
          <c:showLegendKey val="0"/>
          <c:showVal val="1"/>
          <c:showCatName val="0"/>
          <c:showSerName val="0"/>
          <c:showPercent val="0"/>
          <c:showBubbleSize val="0"/>
        </c:dLbls>
        <c:gapWidth val="121"/>
        <c:overlap val="9"/>
        <c:axId val="1972833551"/>
        <c:axId val="1924379231"/>
      </c:barChart>
      <c:catAx>
        <c:axId val="1972833551"/>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0" spcFirstLastPara="1" vertOverflow="ellipsis" wrap="square" anchor="ctr" anchorCtr="1"/>
          <a:lstStyle/>
          <a:p>
            <a:pPr>
              <a:defRPr sz="1000" b="0" i="0" u="none" strike="noStrike" kern="1200" cap="none" spc="20" normalizeH="0" baseline="0">
                <a:solidFill>
                  <a:schemeClr val="tx1">
                    <a:lumMod val="65000"/>
                    <a:lumOff val="35000"/>
                  </a:schemeClr>
                </a:solidFill>
                <a:latin typeface="+mj-lt"/>
                <a:ea typeface="+mn-ea"/>
                <a:cs typeface="Times New Roman" panose="02020603050405020304" pitchFamily="18" charset="0"/>
              </a:defRPr>
            </a:pPr>
            <a:endParaRPr lang="lt-LT"/>
          </a:p>
        </c:txPr>
        <c:crossAx val="1924379231"/>
        <c:crossesAt val="1"/>
        <c:auto val="1"/>
        <c:lblAlgn val="ctr"/>
        <c:lblOffset val="100"/>
        <c:noMultiLvlLbl val="0"/>
      </c:catAx>
      <c:valAx>
        <c:axId val="1924379231"/>
        <c:scaling>
          <c:orientation val="minMax"/>
          <c:min val="1"/>
        </c:scaling>
        <c:delete val="0"/>
        <c:axPos val="l"/>
        <c:majorGridlines>
          <c:spPr>
            <a:ln w="9525" cap="flat" cmpd="sng" algn="ctr">
              <a:solidFill>
                <a:schemeClr val="tx1">
                  <a:lumMod val="5000"/>
                  <a:lumOff val="9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j-lt"/>
                    <a:ea typeface="+mn-ea"/>
                    <a:cs typeface="+mn-cs"/>
                  </a:defRPr>
                </a:pPr>
                <a:r>
                  <a:rPr lang="lt-LT" sz="1000" cap="none">
                    <a:latin typeface="+mj-lt"/>
                    <a:cs typeface="Times New Roman" panose="02020603050405020304" pitchFamily="18" charset="0"/>
                  </a:rPr>
                  <a:t>Paslaugų</a:t>
                </a:r>
                <a:r>
                  <a:rPr lang="lt-LT" sz="1000" cap="none" baseline="0">
                    <a:latin typeface="+mj-lt"/>
                    <a:cs typeface="Times New Roman" panose="02020603050405020304" pitchFamily="18" charset="0"/>
                  </a:rPr>
                  <a:t> gavėjų skaičius</a:t>
                </a:r>
                <a:endParaRPr lang="en-US" sz="1000" cap="none">
                  <a:latin typeface="+mj-lt"/>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j-lt"/>
                  <a:ea typeface="+mn-ea"/>
                  <a:cs typeface="+mn-cs"/>
                </a:defRPr>
              </a:pPr>
              <a:endParaRPr lang="lt-LT"/>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spc="20" baseline="0">
                <a:solidFill>
                  <a:schemeClr val="tx1">
                    <a:lumMod val="65000"/>
                    <a:lumOff val="35000"/>
                  </a:schemeClr>
                </a:solidFill>
                <a:latin typeface="+mj-lt"/>
                <a:ea typeface="+mn-ea"/>
                <a:cs typeface="Times New Roman" panose="02020603050405020304" pitchFamily="18" charset="0"/>
              </a:defRPr>
            </a:pPr>
            <a:endParaRPr lang="lt-LT"/>
          </a:p>
        </c:txPr>
        <c:crossAx val="1972833551"/>
        <c:crosses val="autoZero"/>
        <c:crossBetween val="between"/>
      </c:valAx>
      <c:spPr>
        <a:noFill/>
        <a:ln>
          <a:noFill/>
        </a:ln>
        <a:effectLst/>
      </c:spPr>
    </c:plotArea>
    <c:legend>
      <c:legendPos val="r"/>
      <c:layout>
        <c:manualLayout>
          <c:xMode val="edge"/>
          <c:yMode val="edge"/>
          <c:x val="0.855487621117207"/>
          <c:y val="0.43921949150295608"/>
          <c:w val="0.10362651857614902"/>
          <c:h val="0.15151621198865295"/>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lt-LT"/>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1" i="0" u="none" strike="noStrike" kern="1200" cap="none" spc="50" normalizeH="0" baseline="0">
                <a:solidFill>
                  <a:sysClr val="windowText" lastClr="000000"/>
                </a:solidFill>
                <a:latin typeface="+mj-lt"/>
                <a:ea typeface="+mj-ea"/>
                <a:cs typeface="Times New Roman" panose="02020603050405020304" pitchFamily="18" charset="0"/>
              </a:defRPr>
            </a:pPr>
            <a:r>
              <a:rPr lang="lt-LT" sz="1000" b="1">
                <a:solidFill>
                  <a:sysClr val="windowText" lastClr="000000"/>
                </a:solidFill>
                <a:latin typeface="+mj-lt"/>
                <a:cs typeface="Times New Roman" panose="02020603050405020304" pitchFamily="18" charset="0"/>
              </a:rPr>
              <a:t>Di</a:t>
            </a:r>
            <a:r>
              <a:rPr lang="en-US" sz="1000" b="1">
                <a:solidFill>
                  <a:sysClr val="windowText" lastClr="000000"/>
                </a:solidFill>
                <a:latin typeface="+mj-lt"/>
                <a:cs typeface="Times New Roman" panose="02020603050405020304" pitchFamily="18" charset="0"/>
              </a:rPr>
              <a:t>enos centre t</a:t>
            </a:r>
            <a:r>
              <a:rPr lang="lt-LT" sz="1000" b="1">
                <a:solidFill>
                  <a:sysClr val="windowText" lastClr="000000"/>
                </a:solidFill>
                <a:latin typeface="+mj-lt"/>
                <a:cs typeface="Times New Roman" panose="02020603050405020304" pitchFamily="18" charset="0"/>
              </a:rPr>
              <a:t>aiko</a:t>
            </a:r>
            <a:r>
              <a:rPr lang="en-US" sz="1000" b="1">
                <a:solidFill>
                  <a:sysClr val="windowText" lastClr="000000"/>
                </a:solidFill>
                <a:latin typeface="+mj-lt"/>
                <a:cs typeface="Times New Roman" panose="02020603050405020304" pitchFamily="18" charset="0"/>
              </a:rPr>
              <a:t>m</a:t>
            </a:r>
            <a:r>
              <a:rPr lang="lt-LT" sz="1000" b="1">
                <a:solidFill>
                  <a:sysClr val="windowText" lastClr="000000"/>
                </a:solidFill>
                <a:latin typeface="+mj-lt"/>
                <a:cs typeface="Times New Roman" panose="02020603050405020304" pitchFamily="18" charset="0"/>
              </a:rPr>
              <a:t>ų metodų naudos paslaugų gavėjams  vertinimas</a:t>
            </a:r>
          </a:p>
        </c:rich>
      </c:tx>
      <c:layout>
        <c:manualLayout>
          <c:xMode val="edge"/>
          <c:yMode val="edge"/>
          <c:x val="0.15261992619926198"/>
          <c:y val="3.5842293906810034E-2"/>
        </c:manualLayout>
      </c:layout>
      <c:overlay val="0"/>
      <c:spPr>
        <a:noFill/>
        <a:ln>
          <a:noFill/>
        </a:ln>
        <a:effectLst/>
      </c:spPr>
      <c:txPr>
        <a:bodyPr rot="0" spcFirstLastPara="1" vertOverflow="ellipsis" vert="horz" wrap="square" anchor="ctr" anchorCtr="1"/>
        <a:lstStyle/>
        <a:p>
          <a:pPr>
            <a:defRPr sz="1000" b="1" i="0" u="none" strike="noStrike" kern="1200" cap="none" spc="50" normalizeH="0" baseline="0">
              <a:solidFill>
                <a:sysClr val="windowText" lastClr="000000"/>
              </a:solidFill>
              <a:latin typeface="+mj-lt"/>
              <a:ea typeface="+mj-ea"/>
              <a:cs typeface="Times New Roman" panose="02020603050405020304" pitchFamily="18" charset="0"/>
            </a:defRPr>
          </a:pPr>
          <a:endParaRPr lang="lt-LT"/>
        </a:p>
      </c:txPr>
    </c:title>
    <c:autoTitleDeleted val="0"/>
    <c:plotArea>
      <c:layout/>
      <c:barChart>
        <c:barDir val="col"/>
        <c:grouping val="clustered"/>
        <c:varyColors val="0"/>
        <c:ser>
          <c:idx val="0"/>
          <c:order val="0"/>
          <c:tx>
            <c:strRef>
              <c:f>Lapas1!$B$1</c:f>
              <c:strCache>
                <c:ptCount val="1"/>
                <c:pt idx="0">
                  <c:v>Sensorinės integracijos metodas</c:v>
                </c:pt>
              </c:strCache>
            </c:strRef>
          </c:tx>
          <c:spPr>
            <a:solidFill>
              <a:schemeClr val="accent6">
                <a:alpha val="70000"/>
              </a:schemeClr>
            </a:solidFill>
            <a:ln>
              <a:noFill/>
            </a:ln>
            <a:effectLst/>
          </c:spPr>
          <c:invertIfNegative val="0"/>
          <c:dLbls>
            <c:dLbl>
              <c:idx val="4"/>
              <c:delete val="1"/>
              <c:extLst>
                <c:ext xmlns:c15="http://schemas.microsoft.com/office/drawing/2012/chart" uri="{CE6537A1-D6FC-4f65-9D91-7224C49458BB}"/>
                <c:ext xmlns:c16="http://schemas.microsoft.com/office/drawing/2014/chart" uri="{C3380CC4-5D6E-409C-BE32-E72D297353CC}">
                  <c16:uniqueId val="{00000000-64C1-4B8D-A237-3B1C0EAF7926}"/>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j-lt"/>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Lapas1!$A$2:$A$10</c:f>
              <c:strCache>
                <c:ptCount val="9"/>
                <c:pt idx="0">
                  <c:v>2023 m. </c:v>
                </c:pt>
                <c:pt idx="1">
                  <c:v>Naudinga</c:v>
                </c:pt>
                <c:pt idx="2">
                  <c:v>Nenaudinga </c:v>
                </c:pt>
                <c:pt idx="3">
                  <c:v>Nesinaudoja</c:v>
                </c:pt>
                <c:pt idx="5">
                  <c:v>2024 m. </c:v>
                </c:pt>
                <c:pt idx="6">
                  <c:v>Naudinga</c:v>
                </c:pt>
                <c:pt idx="7">
                  <c:v>Nenaudinga </c:v>
                </c:pt>
                <c:pt idx="8">
                  <c:v>Nesinaudoja</c:v>
                </c:pt>
              </c:strCache>
            </c:strRef>
          </c:cat>
          <c:val>
            <c:numRef>
              <c:f>Lapas1!$B$2:$B$10</c:f>
              <c:numCache>
                <c:formatCode>General</c:formatCode>
                <c:ptCount val="9"/>
                <c:pt idx="1">
                  <c:v>86</c:v>
                </c:pt>
                <c:pt idx="2">
                  <c:v>1</c:v>
                </c:pt>
                <c:pt idx="3">
                  <c:v>13</c:v>
                </c:pt>
                <c:pt idx="4">
                  <c:v>0</c:v>
                </c:pt>
                <c:pt idx="6">
                  <c:v>77</c:v>
                </c:pt>
                <c:pt idx="7">
                  <c:v>5</c:v>
                </c:pt>
                <c:pt idx="8">
                  <c:v>18</c:v>
                </c:pt>
              </c:numCache>
            </c:numRef>
          </c:val>
          <c:extLst>
            <c:ext xmlns:c16="http://schemas.microsoft.com/office/drawing/2014/chart" uri="{C3380CC4-5D6E-409C-BE32-E72D297353CC}">
              <c16:uniqueId val="{00000001-64C1-4B8D-A237-3B1C0EAF7926}"/>
            </c:ext>
          </c:extLst>
        </c:ser>
        <c:ser>
          <c:idx val="1"/>
          <c:order val="1"/>
          <c:tx>
            <c:strRef>
              <c:f>Lapas1!$C$1</c:f>
              <c:strCache>
                <c:ptCount val="1"/>
                <c:pt idx="0">
                  <c:v>Hidroterapijos metodas</c:v>
                </c:pt>
              </c:strCache>
            </c:strRef>
          </c:tx>
          <c:spPr>
            <a:solidFill>
              <a:schemeClr val="accent5">
                <a:alpha val="70000"/>
              </a:schemeClr>
            </a:solidFill>
            <a:ln>
              <a:noFill/>
            </a:ln>
            <a:effectLst/>
          </c:spPr>
          <c:invertIfNegative val="0"/>
          <c:dLbls>
            <c:dLbl>
              <c:idx val="4"/>
              <c:delete val="1"/>
              <c:extLst>
                <c:ext xmlns:c15="http://schemas.microsoft.com/office/drawing/2012/chart" uri="{CE6537A1-D6FC-4f65-9D91-7224C49458BB}"/>
                <c:ext xmlns:c16="http://schemas.microsoft.com/office/drawing/2014/chart" uri="{C3380CC4-5D6E-409C-BE32-E72D297353CC}">
                  <c16:uniqueId val="{00000002-64C1-4B8D-A237-3B1C0EAF7926}"/>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j-lt"/>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Lapas1!$A$2:$A$10</c:f>
              <c:strCache>
                <c:ptCount val="9"/>
                <c:pt idx="0">
                  <c:v>2023 m. </c:v>
                </c:pt>
                <c:pt idx="1">
                  <c:v>Naudinga</c:v>
                </c:pt>
                <c:pt idx="2">
                  <c:v>Nenaudinga </c:v>
                </c:pt>
                <c:pt idx="3">
                  <c:v>Nesinaudoja</c:v>
                </c:pt>
                <c:pt idx="5">
                  <c:v>2024 m. </c:v>
                </c:pt>
                <c:pt idx="6">
                  <c:v>Naudinga</c:v>
                </c:pt>
                <c:pt idx="7">
                  <c:v>Nenaudinga </c:v>
                </c:pt>
                <c:pt idx="8">
                  <c:v>Nesinaudoja</c:v>
                </c:pt>
              </c:strCache>
            </c:strRef>
          </c:cat>
          <c:val>
            <c:numRef>
              <c:f>Lapas1!$C$2:$C$10</c:f>
              <c:numCache>
                <c:formatCode>General</c:formatCode>
                <c:ptCount val="9"/>
                <c:pt idx="1">
                  <c:v>55</c:v>
                </c:pt>
                <c:pt idx="3">
                  <c:v>45</c:v>
                </c:pt>
                <c:pt idx="4">
                  <c:v>0</c:v>
                </c:pt>
                <c:pt idx="6">
                  <c:v>48</c:v>
                </c:pt>
                <c:pt idx="7">
                  <c:v>1</c:v>
                </c:pt>
                <c:pt idx="8">
                  <c:v>51</c:v>
                </c:pt>
              </c:numCache>
            </c:numRef>
          </c:val>
          <c:extLst>
            <c:ext xmlns:c16="http://schemas.microsoft.com/office/drawing/2014/chart" uri="{C3380CC4-5D6E-409C-BE32-E72D297353CC}">
              <c16:uniqueId val="{00000003-64C1-4B8D-A237-3B1C0EAF7926}"/>
            </c:ext>
          </c:extLst>
        </c:ser>
        <c:ser>
          <c:idx val="2"/>
          <c:order val="2"/>
          <c:tx>
            <c:strRef>
              <c:f>Lapas1!$D$1</c:f>
              <c:strCache>
                <c:ptCount val="1"/>
                <c:pt idx="0">
                  <c:v>Haloterapijos metodas</c:v>
                </c:pt>
              </c:strCache>
            </c:strRef>
          </c:tx>
          <c:spPr>
            <a:solidFill>
              <a:schemeClr val="accent4">
                <a:alpha val="70000"/>
              </a:schemeClr>
            </a:solidFill>
            <a:ln>
              <a:noFill/>
            </a:ln>
            <a:effectLst/>
          </c:spPr>
          <c:invertIfNegative val="0"/>
          <c:dLbls>
            <c:dLbl>
              <c:idx val="4"/>
              <c:delete val="1"/>
              <c:extLst>
                <c:ext xmlns:c15="http://schemas.microsoft.com/office/drawing/2012/chart" uri="{CE6537A1-D6FC-4f65-9D91-7224C49458BB}"/>
                <c:ext xmlns:c16="http://schemas.microsoft.com/office/drawing/2014/chart" uri="{C3380CC4-5D6E-409C-BE32-E72D297353CC}">
                  <c16:uniqueId val="{00000004-64C1-4B8D-A237-3B1C0EAF7926}"/>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j-lt"/>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Lapas1!$A$2:$A$10</c:f>
              <c:strCache>
                <c:ptCount val="9"/>
                <c:pt idx="0">
                  <c:v>2023 m. </c:v>
                </c:pt>
                <c:pt idx="1">
                  <c:v>Naudinga</c:v>
                </c:pt>
                <c:pt idx="2">
                  <c:v>Nenaudinga </c:v>
                </c:pt>
                <c:pt idx="3">
                  <c:v>Nesinaudoja</c:v>
                </c:pt>
                <c:pt idx="5">
                  <c:v>2024 m. </c:v>
                </c:pt>
                <c:pt idx="6">
                  <c:v>Naudinga</c:v>
                </c:pt>
                <c:pt idx="7">
                  <c:v>Nenaudinga </c:v>
                </c:pt>
                <c:pt idx="8">
                  <c:v>Nesinaudoja</c:v>
                </c:pt>
              </c:strCache>
            </c:strRef>
          </c:cat>
          <c:val>
            <c:numRef>
              <c:f>Lapas1!$D$2:$D$10</c:f>
              <c:numCache>
                <c:formatCode>General</c:formatCode>
                <c:ptCount val="9"/>
                <c:pt idx="1">
                  <c:v>87</c:v>
                </c:pt>
                <c:pt idx="3">
                  <c:v>13</c:v>
                </c:pt>
                <c:pt idx="4">
                  <c:v>0</c:v>
                </c:pt>
                <c:pt idx="6">
                  <c:v>81</c:v>
                </c:pt>
                <c:pt idx="8">
                  <c:v>19</c:v>
                </c:pt>
              </c:numCache>
            </c:numRef>
          </c:val>
          <c:extLst>
            <c:ext xmlns:c16="http://schemas.microsoft.com/office/drawing/2014/chart" uri="{C3380CC4-5D6E-409C-BE32-E72D297353CC}">
              <c16:uniqueId val="{00000005-64C1-4B8D-A237-3B1C0EAF7926}"/>
            </c:ext>
          </c:extLst>
        </c:ser>
        <c:ser>
          <c:idx val="3"/>
          <c:order val="3"/>
          <c:tx>
            <c:strRef>
              <c:f>Lapas1!$E$1</c:f>
              <c:strCache>
                <c:ptCount val="1"/>
                <c:pt idx="0">
                  <c:v>Alternatyvios komunikacijos metodas</c:v>
                </c:pt>
              </c:strCache>
            </c:strRef>
          </c:tx>
          <c:spPr>
            <a:solidFill>
              <a:schemeClr val="accent6">
                <a:lumMod val="60000"/>
                <a:alpha val="70000"/>
              </a:schemeClr>
            </a:solidFill>
            <a:ln>
              <a:noFill/>
            </a:ln>
            <a:effectLst/>
          </c:spPr>
          <c:invertIfNegative val="0"/>
          <c:dLbls>
            <c:dLbl>
              <c:idx val="1"/>
              <c:layout>
                <c:manualLayout>
                  <c:x val="8.8652482269503553E-3"/>
                  <c:y val="-3.1565291920710728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64C1-4B8D-A237-3B1C0EAF7926}"/>
                </c:ext>
              </c:extLst>
            </c:dLbl>
            <c:dLbl>
              <c:idx val="3"/>
              <c:layout>
                <c:manualLayout>
                  <c:x val="2.0749040356883492E-3"/>
                  <c:y val="-7.0403692578912402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64C1-4B8D-A237-3B1C0EAF7926}"/>
                </c:ext>
              </c:extLst>
            </c:dLbl>
            <c:dLbl>
              <c:idx val="4"/>
              <c:delete val="1"/>
              <c:extLst>
                <c:ext xmlns:c15="http://schemas.microsoft.com/office/drawing/2012/chart" uri="{CE6537A1-D6FC-4f65-9D91-7224C49458BB}"/>
                <c:ext xmlns:c16="http://schemas.microsoft.com/office/drawing/2014/chart" uri="{C3380CC4-5D6E-409C-BE32-E72D297353CC}">
                  <c16:uniqueId val="{00000008-64C1-4B8D-A237-3B1C0EAF7926}"/>
                </c:ext>
              </c:extLst>
            </c:dLbl>
            <c:dLbl>
              <c:idx val="6"/>
              <c:layout>
                <c:manualLayout>
                  <c:x val="6.648936170212766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64C1-4B8D-A237-3B1C0EAF7926}"/>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j-lt"/>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Lapas1!$A$2:$A$10</c:f>
              <c:strCache>
                <c:ptCount val="9"/>
                <c:pt idx="0">
                  <c:v>2023 m. </c:v>
                </c:pt>
                <c:pt idx="1">
                  <c:v>Naudinga</c:v>
                </c:pt>
                <c:pt idx="2">
                  <c:v>Nenaudinga </c:v>
                </c:pt>
                <c:pt idx="3">
                  <c:v>Nesinaudoja</c:v>
                </c:pt>
                <c:pt idx="5">
                  <c:v>2024 m. </c:v>
                </c:pt>
                <c:pt idx="6">
                  <c:v>Naudinga</c:v>
                </c:pt>
                <c:pt idx="7">
                  <c:v>Nenaudinga </c:v>
                </c:pt>
                <c:pt idx="8">
                  <c:v>Nesinaudoja</c:v>
                </c:pt>
              </c:strCache>
            </c:strRef>
          </c:cat>
          <c:val>
            <c:numRef>
              <c:f>Lapas1!$E$2:$E$10</c:f>
              <c:numCache>
                <c:formatCode>General</c:formatCode>
                <c:ptCount val="9"/>
                <c:pt idx="1">
                  <c:v>85</c:v>
                </c:pt>
                <c:pt idx="2">
                  <c:v>3</c:v>
                </c:pt>
                <c:pt idx="3">
                  <c:v>12</c:v>
                </c:pt>
                <c:pt idx="4">
                  <c:v>0</c:v>
                </c:pt>
                <c:pt idx="6">
                  <c:v>81</c:v>
                </c:pt>
                <c:pt idx="7">
                  <c:v>6</c:v>
                </c:pt>
                <c:pt idx="8">
                  <c:v>13</c:v>
                </c:pt>
              </c:numCache>
            </c:numRef>
          </c:val>
          <c:extLst>
            <c:ext xmlns:c16="http://schemas.microsoft.com/office/drawing/2014/chart" uri="{C3380CC4-5D6E-409C-BE32-E72D297353CC}">
              <c16:uniqueId val="{0000000A-64C1-4B8D-A237-3B1C0EAF7926}"/>
            </c:ext>
          </c:extLst>
        </c:ser>
        <c:ser>
          <c:idx val="4"/>
          <c:order val="4"/>
          <c:tx>
            <c:strRef>
              <c:f>Lapas1!$F$1</c:f>
              <c:strCache>
                <c:ptCount val="1"/>
                <c:pt idx="0">
                  <c:v>Interaktyvių žaidimų metodas</c:v>
                </c:pt>
              </c:strCache>
            </c:strRef>
          </c:tx>
          <c:spPr>
            <a:solidFill>
              <a:schemeClr val="accent5">
                <a:lumMod val="60000"/>
                <a:alpha val="70000"/>
              </a:schemeClr>
            </a:solidFill>
            <a:ln>
              <a:noFill/>
            </a:ln>
            <a:effectLst/>
          </c:spPr>
          <c:invertIfNegative val="0"/>
          <c:dLbls>
            <c:dLbl>
              <c:idx val="4"/>
              <c:delete val="1"/>
              <c:extLst>
                <c:ext xmlns:c15="http://schemas.microsoft.com/office/drawing/2012/chart" uri="{CE6537A1-D6FC-4f65-9D91-7224C49458BB}"/>
                <c:ext xmlns:c16="http://schemas.microsoft.com/office/drawing/2014/chart" uri="{C3380CC4-5D6E-409C-BE32-E72D297353CC}">
                  <c16:uniqueId val="{0000000B-64C1-4B8D-A237-3B1C0EAF7926}"/>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j-lt"/>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Lapas1!$A$2:$A$10</c:f>
              <c:strCache>
                <c:ptCount val="9"/>
                <c:pt idx="0">
                  <c:v>2023 m. </c:v>
                </c:pt>
                <c:pt idx="1">
                  <c:v>Naudinga</c:v>
                </c:pt>
                <c:pt idx="2">
                  <c:v>Nenaudinga </c:v>
                </c:pt>
                <c:pt idx="3">
                  <c:v>Nesinaudoja</c:v>
                </c:pt>
                <c:pt idx="5">
                  <c:v>2024 m. </c:v>
                </c:pt>
                <c:pt idx="6">
                  <c:v>Naudinga</c:v>
                </c:pt>
                <c:pt idx="7">
                  <c:v>Nenaudinga </c:v>
                </c:pt>
                <c:pt idx="8">
                  <c:v>Nesinaudoja</c:v>
                </c:pt>
              </c:strCache>
            </c:strRef>
          </c:cat>
          <c:val>
            <c:numRef>
              <c:f>Lapas1!$F$2:$F$10</c:f>
              <c:numCache>
                <c:formatCode>General</c:formatCode>
                <c:ptCount val="9"/>
                <c:pt idx="1">
                  <c:v>66</c:v>
                </c:pt>
                <c:pt idx="2">
                  <c:v>11</c:v>
                </c:pt>
                <c:pt idx="3">
                  <c:v>23</c:v>
                </c:pt>
                <c:pt idx="4">
                  <c:v>0</c:v>
                </c:pt>
                <c:pt idx="6">
                  <c:v>73</c:v>
                </c:pt>
                <c:pt idx="7">
                  <c:v>6</c:v>
                </c:pt>
                <c:pt idx="8">
                  <c:v>21</c:v>
                </c:pt>
              </c:numCache>
            </c:numRef>
          </c:val>
          <c:extLst>
            <c:ext xmlns:c16="http://schemas.microsoft.com/office/drawing/2014/chart" uri="{C3380CC4-5D6E-409C-BE32-E72D297353CC}">
              <c16:uniqueId val="{0000000C-64C1-4B8D-A237-3B1C0EAF7926}"/>
            </c:ext>
          </c:extLst>
        </c:ser>
        <c:dLbls>
          <c:dLblPos val="outEnd"/>
          <c:showLegendKey val="0"/>
          <c:showVal val="1"/>
          <c:showCatName val="0"/>
          <c:showSerName val="0"/>
          <c:showPercent val="0"/>
          <c:showBubbleSize val="0"/>
        </c:dLbls>
        <c:gapWidth val="80"/>
        <c:overlap val="25"/>
        <c:axId val="1273459472"/>
        <c:axId val="729947712"/>
      </c:barChart>
      <c:catAx>
        <c:axId val="1273459472"/>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800" b="1" i="0" u="none" strike="noStrike" kern="1200" cap="none" spc="20" normalizeH="0" baseline="0">
                <a:solidFill>
                  <a:sysClr val="windowText" lastClr="000000"/>
                </a:solidFill>
                <a:latin typeface="+mj-lt"/>
                <a:ea typeface="+mn-ea"/>
                <a:cs typeface="Times New Roman" panose="02020603050405020304" pitchFamily="18" charset="0"/>
              </a:defRPr>
            </a:pPr>
            <a:endParaRPr lang="lt-LT"/>
          </a:p>
        </c:txPr>
        <c:crossAx val="729947712"/>
        <c:crosses val="autoZero"/>
        <c:auto val="1"/>
        <c:lblAlgn val="ctr"/>
        <c:lblOffset val="100"/>
        <c:noMultiLvlLbl val="0"/>
      </c:catAx>
      <c:valAx>
        <c:axId val="729947712"/>
        <c:scaling>
          <c:orientation val="minMax"/>
        </c:scaling>
        <c:delete val="0"/>
        <c:axPos val="l"/>
        <c:majorGridlines>
          <c:spPr>
            <a:ln w="9525" cap="flat" cmpd="sng" algn="ctr">
              <a:solidFill>
                <a:schemeClr val="tx1">
                  <a:lumMod val="5000"/>
                  <a:lumOff val="9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spc="20" baseline="0">
                <a:solidFill>
                  <a:sysClr val="windowText" lastClr="000000"/>
                </a:solidFill>
                <a:latin typeface="+mj-lt"/>
                <a:ea typeface="+mn-ea"/>
                <a:cs typeface="Times New Roman" panose="02020603050405020304" pitchFamily="18" charset="0"/>
              </a:defRPr>
            </a:pPr>
            <a:endParaRPr lang="lt-LT"/>
          </a:p>
        </c:txPr>
        <c:crossAx val="12734594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j-lt"/>
              <a:ea typeface="+mn-ea"/>
              <a:cs typeface="Times New Roman" panose="02020603050405020304" pitchFamily="18" charset="0"/>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lt-LT"/>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0" i="0" u="none" strike="noStrike" kern="1200" spc="0" baseline="0">
                <a:solidFill>
                  <a:sysClr val="windowText" lastClr="000000"/>
                </a:solidFill>
                <a:latin typeface="+mj-lt"/>
                <a:ea typeface="+mn-ea"/>
                <a:cs typeface="+mn-cs"/>
              </a:defRPr>
            </a:pPr>
            <a:r>
              <a:rPr lang="lt-LT" sz="1000" b="0" i="0" u="none" strike="noStrike" baseline="0">
                <a:solidFill>
                  <a:sysClr val="windowText" lastClr="000000"/>
                </a:solidFill>
                <a:effectLst/>
                <a:latin typeface="+mj-lt"/>
                <a:cs typeface="Times New Roman" panose="02020603050405020304" pitchFamily="18" charset="0"/>
              </a:rPr>
              <a:t>Paslaugų gavėjų teisėtų atstovų paslaugų vertinimo rezultatai 2023-2024m. </a:t>
            </a:r>
            <a:endParaRPr lang="lt-LT" sz="1000">
              <a:solidFill>
                <a:sysClr val="windowText" lastClr="000000"/>
              </a:solidFill>
              <a:latin typeface="+mj-lt"/>
              <a:cs typeface="Times New Roman" panose="02020603050405020304" pitchFamily="18" charset="0"/>
            </a:endParaRPr>
          </a:p>
        </c:rich>
      </c:tx>
      <c:layout>
        <c:manualLayout>
          <c:xMode val="edge"/>
          <c:yMode val="edge"/>
          <c:x val="0.16460648148148149"/>
          <c:y val="3.5714285714285712E-2"/>
        </c:manualLayout>
      </c:layout>
      <c:overlay val="0"/>
      <c:spPr>
        <a:noFill/>
        <a:ln>
          <a:noFill/>
        </a:ln>
        <a:effectLst/>
      </c:spPr>
      <c:txPr>
        <a:bodyPr rot="0" spcFirstLastPara="1" vertOverflow="ellipsis" vert="horz" wrap="square" anchor="ctr" anchorCtr="1"/>
        <a:lstStyle/>
        <a:p>
          <a:pPr>
            <a:defRPr sz="1000" b="0" i="0" u="none" strike="noStrike" kern="1200" spc="0" baseline="0">
              <a:solidFill>
                <a:sysClr val="windowText" lastClr="000000"/>
              </a:solidFill>
              <a:latin typeface="+mj-lt"/>
              <a:ea typeface="+mn-ea"/>
              <a:cs typeface="+mn-cs"/>
            </a:defRPr>
          </a:pPr>
          <a:endParaRPr lang="lt-LT"/>
        </a:p>
      </c:txPr>
    </c:title>
    <c:autoTitleDeleted val="0"/>
    <c:plotArea>
      <c:layout/>
      <c:barChart>
        <c:barDir val="col"/>
        <c:grouping val="percentStacked"/>
        <c:varyColors val="0"/>
        <c:ser>
          <c:idx val="0"/>
          <c:order val="0"/>
          <c:tx>
            <c:strRef>
              <c:f>Lapas1!$B$1</c:f>
              <c:strCache>
                <c:ptCount val="1"/>
                <c:pt idx="0">
                  <c:v>Paslaugų organizavimas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Lapas1!$A$2:$A$14</c:f>
              <c:strCache>
                <c:ptCount val="13"/>
                <c:pt idx="1">
                  <c:v>2023 m.</c:v>
                </c:pt>
                <c:pt idx="2">
                  <c:v>Labai gerai</c:v>
                </c:pt>
                <c:pt idx="3">
                  <c:v>Gerai</c:v>
                </c:pt>
                <c:pt idx="4">
                  <c:v>Patenkinamai</c:v>
                </c:pt>
                <c:pt idx="5">
                  <c:v>Blogai</c:v>
                </c:pt>
                <c:pt idx="6">
                  <c:v>Nežinau</c:v>
                </c:pt>
                <c:pt idx="7">
                  <c:v>2024 m.</c:v>
                </c:pt>
                <c:pt idx="8">
                  <c:v>Labai gerai</c:v>
                </c:pt>
                <c:pt idx="9">
                  <c:v>Gerai</c:v>
                </c:pt>
                <c:pt idx="10">
                  <c:v>Patenkinamai</c:v>
                </c:pt>
                <c:pt idx="11">
                  <c:v>Blogai</c:v>
                </c:pt>
                <c:pt idx="12">
                  <c:v>Nežinau</c:v>
                </c:pt>
              </c:strCache>
            </c:strRef>
          </c:cat>
          <c:val>
            <c:numRef>
              <c:f>Lapas1!$B$2:$B$14</c:f>
              <c:numCache>
                <c:formatCode>General</c:formatCode>
                <c:ptCount val="13"/>
                <c:pt idx="2" formatCode="0%">
                  <c:v>0.71</c:v>
                </c:pt>
                <c:pt idx="3" formatCode="0%">
                  <c:v>0.25</c:v>
                </c:pt>
                <c:pt idx="4" formatCode="0%">
                  <c:v>0.01</c:v>
                </c:pt>
                <c:pt idx="6" formatCode="0%">
                  <c:v>0.03</c:v>
                </c:pt>
                <c:pt idx="8" formatCode="0%">
                  <c:v>0.56999999999999995</c:v>
                </c:pt>
                <c:pt idx="9" formatCode="0%">
                  <c:v>0.36</c:v>
                </c:pt>
                <c:pt idx="10" formatCode="0%">
                  <c:v>0.04</c:v>
                </c:pt>
                <c:pt idx="12" formatCode="0%">
                  <c:v>0.03</c:v>
                </c:pt>
              </c:numCache>
            </c:numRef>
          </c:val>
          <c:extLst>
            <c:ext xmlns:c16="http://schemas.microsoft.com/office/drawing/2014/chart" uri="{C3380CC4-5D6E-409C-BE32-E72D297353CC}">
              <c16:uniqueId val="{00000000-FC91-4078-B4C6-0144BD8C838B}"/>
            </c:ext>
          </c:extLst>
        </c:ser>
        <c:ser>
          <c:idx val="1"/>
          <c:order val="1"/>
          <c:tx>
            <c:strRef>
              <c:f>Lapas1!$C$1</c:f>
              <c:strCache>
                <c:ptCount val="1"/>
                <c:pt idx="0">
                  <c:v>Aplinka</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Lapas1!$A$2:$A$14</c:f>
              <c:strCache>
                <c:ptCount val="13"/>
                <c:pt idx="1">
                  <c:v>2023 m.</c:v>
                </c:pt>
                <c:pt idx="2">
                  <c:v>Labai gerai</c:v>
                </c:pt>
                <c:pt idx="3">
                  <c:v>Gerai</c:v>
                </c:pt>
                <c:pt idx="4">
                  <c:v>Patenkinamai</c:v>
                </c:pt>
                <c:pt idx="5">
                  <c:v>Blogai</c:v>
                </c:pt>
                <c:pt idx="6">
                  <c:v>Nežinau</c:v>
                </c:pt>
                <c:pt idx="7">
                  <c:v>2024 m.</c:v>
                </c:pt>
                <c:pt idx="8">
                  <c:v>Labai gerai</c:v>
                </c:pt>
                <c:pt idx="9">
                  <c:v>Gerai</c:v>
                </c:pt>
                <c:pt idx="10">
                  <c:v>Patenkinamai</c:v>
                </c:pt>
                <c:pt idx="11">
                  <c:v>Blogai</c:v>
                </c:pt>
                <c:pt idx="12">
                  <c:v>Nežinau</c:v>
                </c:pt>
              </c:strCache>
            </c:strRef>
          </c:cat>
          <c:val>
            <c:numRef>
              <c:f>Lapas1!$C$2:$C$14</c:f>
              <c:numCache>
                <c:formatCode>General</c:formatCode>
                <c:ptCount val="13"/>
                <c:pt idx="2" formatCode="0%">
                  <c:v>0.68</c:v>
                </c:pt>
                <c:pt idx="3" formatCode="0%">
                  <c:v>0.26</c:v>
                </c:pt>
                <c:pt idx="4" formatCode="0%">
                  <c:v>0.04</c:v>
                </c:pt>
                <c:pt idx="6" formatCode="0%">
                  <c:v>0.02</c:v>
                </c:pt>
                <c:pt idx="8" formatCode="0%">
                  <c:v>0.6</c:v>
                </c:pt>
                <c:pt idx="9" formatCode="0%">
                  <c:v>0.37</c:v>
                </c:pt>
                <c:pt idx="10" formatCode="0%">
                  <c:v>0.03</c:v>
                </c:pt>
              </c:numCache>
            </c:numRef>
          </c:val>
          <c:extLst>
            <c:ext xmlns:c16="http://schemas.microsoft.com/office/drawing/2014/chart" uri="{C3380CC4-5D6E-409C-BE32-E72D297353CC}">
              <c16:uniqueId val="{00000001-FC91-4078-B4C6-0144BD8C838B}"/>
            </c:ext>
          </c:extLst>
        </c:ser>
        <c:ser>
          <c:idx val="2"/>
          <c:order val="2"/>
          <c:tx>
            <c:strRef>
              <c:f>Lapas1!$D$1</c:f>
              <c:strCache>
                <c:ptCount val="1"/>
                <c:pt idx="0">
                  <c:v>Bendradarbiavimas</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Lapas1!$A$2:$A$14</c:f>
              <c:strCache>
                <c:ptCount val="13"/>
                <c:pt idx="1">
                  <c:v>2023 m.</c:v>
                </c:pt>
                <c:pt idx="2">
                  <c:v>Labai gerai</c:v>
                </c:pt>
                <c:pt idx="3">
                  <c:v>Gerai</c:v>
                </c:pt>
                <c:pt idx="4">
                  <c:v>Patenkinamai</c:v>
                </c:pt>
                <c:pt idx="5">
                  <c:v>Blogai</c:v>
                </c:pt>
                <c:pt idx="6">
                  <c:v>Nežinau</c:v>
                </c:pt>
                <c:pt idx="7">
                  <c:v>2024 m.</c:v>
                </c:pt>
                <c:pt idx="8">
                  <c:v>Labai gerai</c:v>
                </c:pt>
                <c:pt idx="9">
                  <c:v>Gerai</c:v>
                </c:pt>
                <c:pt idx="10">
                  <c:v>Patenkinamai</c:v>
                </c:pt>
                <c:pt idx="11">
                  <c:v>Blogai</c:v>
                </c:pt>
                <c:pt idx="12">
                  <c:v>Nežinau</c:v>
                </c:pt>
              </c:strCache>
            </c:strRef>
          </c:cat>
          <c:val>
            <c:numRef>
              <c:f>Lapas1!$D$2:$D$14</c:f>
              <c:numCache>
                <c:formatCode>General</c:formatCode>
                <c:ptCount val="13"/>
                <c:pt idx="2" formatCode="0%">
                  <c:v>0.54</c:v>
                </c:pt>
                <c:pt idx="3" formatCode="0%">
                  <c:v>0.36</c:v>
                </c:pt>
                <c:pt idx="4" formatCode="0%">
                  <c:v>0.06</c:v>
                </c:pt>
                <c:pt idx="6" formatCode="0%">
                  <c:v>0.04</c:v>
                </c:pt>
                <c:pt idx="8" formatCode="0%">
                  <c:v>0.5</c:v>
                </c:pt>
                <c:pt idx="9" formatCode="0%">
                  <c:v>0.44</c:v>
                </c:pt>
                <c:pt idx="10" formatCode="0%">
                  <c:v>0.04</c:v>
                </c:pt>
                <c:pt idx="12" formatCode="0%">
                  <c:v>0.02</c:v>
                </c:pt>
              </c:numCache>
            </c:numRef>
          </c:val>
          <c:extLst>
            <c:ext xmlns:c16="http://schemas.microsoft.com/office/drawing/2014/chart" uri="{C3380CC4-5D6E-409C-BE32-E72D297353CC}">
              <c16:uniqueId val="{00000002-FC91-4078-B4C6-0144BD8C838B}"/>
            </c:ext>
          </c:extLst>
        </c:ser>
        <c:ser>
          <c:idx val="3"/>
          <c:order val="3"/>
          <c:tx>
            <c:strRef>
              <c:f>Lapas1!$E$1</c:f>
              <c:strCache>
                <c:ptCount val="1"/>
                <c:pt idx="0">
                  <c:v>Specialistų pagalba</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Lapas1!$A$2:$A$14</c:f>
              <c:strCache>
                <c:ptCount val="13"/>
                <c:pt idx="1">
                  <c:v>2023 m.</c:v>
                </c:pt>
                <c:pt idx="2">
                  <c:v>Labai gerai</c:v>
                </c:pt>
                <c:pt idx="3">
                  <c:v>Gerai</c:v>
                </c:pt>
                <c:pt idx="4">
                  <c:v>Patenkinamai</c:v>
                </c:pt>
                <c:pt idx="5">
                  <c:v>Blogai</c:v>
                </c:pt>
                <c:pt idx="6">
                  <c:v>Nežinau</c:v>
                </c:pt>
                <c:pt idx="7">
                  <c:v>2024 m.</c:v>
                </c:pt>
                <c:pt idx="8">
                  <c:v>Labai gerai</c:v>
                </c:pt>
                <c:pt idx="9">
                  <c:v>Gerai</c:v>
                </c:pt>
                <c:pt idx="10">
                  <c:v>Patenkinamai</c:v>
                </c:pt>
                <c:pt idx="11">
                  <c:v>Blogai</c:v>
                </c:pt>
                <c:pt idx="12">
                  <c:v>Nežinau</c:v>
                </c:pt>
              </c:strCache>
            </c:strRef>
          </c:cat>
          <c:val>
            <c:numRef>
              <c:f>Lapas1!$E$2:$E$14</c:f>
              <c:numCache>
                <c:formatCode>General</c:formatCode>
                <c:ptCount val="13"/>
                <c:pt idx="2" formatCode="0%">
                  <c:v>0.68</c:v>
                </c:pt>
                <c:pt idx="3" formatCode="0%">
                  <c:v>0.26</c:v>
                </c:pt>
                <c:pt idx="4" formatCode="0%">
                  <c:v>0.04</c:v>
                </c:pt>
                <c:pt idx="6" formatCode="0%">
                  <c:v>0.02</c:v>
                </c:pt>
                <c:pt idx="8" formatCode="0%">
                  <c:v>0.6</c:v>
                </c:pt>
                <c:pt idx="9" formatCode="0%">
                  <c:v>0.34</c:v>
                </c:pt>
                <c:pt idx="10" formatCode="0%">
                  <c:v>0.04</c:v>
                </c:pt>
                <c:pt idx="11" formatCode="0%">
                  <c:v>0.01</c:v>
                </c:pt>
                <c:pt idx="12" formatCode="0%">
                  <c:v>0.01</c:v>
                </c:pt>
              </c:numCache>
            </c:numRef>
          </c:val>
          <c:extLst>
            <c:ext xmlns:c16="http://schemas.microsoft.com/office/drawing/2014/chart" uri="{C3380CC4-5D6E-409C-BE32-E72D297353CC}">
              <c16:uniqueId val="{00000003-FC91-4078-B4C6-0144BD8C838B}"/>
            </c:ext>
          </c:extLst>
        </c:ser>
        <c:ser>
          <c:idx val="4"/>
          <c:order val="4"/>
          <c:tx>
            <c:strRef>
              <c:f>Lapas1!$F$1</c:f>
              <c:strCache>
                <c:ptCount val="1"/>
                <c:pt idx="0">
                  <c:v>Personalo pagalba</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Lapas1!$A$2:$A$14</c:f>
              <c:strCache>
                <c:ptCount val="13"/>
                <c:pt idx="1">
                  <c:v>2023 m.</c:v>
                </c:pt>
                <c:pt idx="2">
                  <c:v>Labai gerai</c:v>
                </c:pt>
                <c:pt idx="3">
                  <c:v>Gerai</c:v>
                </c:pt>
                <c:pt idx="4">
                  <c:v>Patenkinamai</c:v>
                </c:pt>
                <c:pt idx="5">
                  <c:v>Blogai</c:v>
                </c:pt>
                <c:pt idx="6">
                  <c:v>Nežinau</c:v>
                </c:pt>
                <c:pt idx="7">
                  <c:v>2024 m.</c:v>
                </c:pt>
                <c:pt idx="8">
                  <c:v>Labai gerai</c:v>
                </c:pt>
                <c:pt idx="9">
                  <c:v>Gerai</c:v>
                </c:pt>
                <c:pt idx="10">
                  <c:v>Patenkinamai</c:v>
                </c:pt>
                <c:pt idx="11">
                  <c:v>Blogai</c:v>
                </c:pt>
                <c:pt idx="12">
                  <c:v>Nežinau</c:v>
                </c:pt>
              </c:strCache>
            </c:strRef>
          </c:cat>
          <c:val>
            <c:numRef>
              <c:f>Lapas1!$F$2:$F$14</c:f>
              <c:numCache>
                <c:formatCode>General</c:formatCode>
                <c:ptCount val="13"/>
                <c:pt idx="2" formatCode="0%">
                  <c:v>0.71</c:v>
                </c:pt>
                <c:pt idx="3" formatCode="0%">
                  <c:v>0.25</c:v>
                </c:pt>
                <c:pt idx="4" formatCode="0%">
                  <c:v>0.01</c:v>
                </c:pt>
                <c:pt idx="6" formatCode="0%">
                  <c:v>0.03</c:v>
                </c:pt>
                <c:pt idx="8" formatCode="0%">
                  <c:v>0.67</c:v>
                </c:pt>
                <c:pt idx="9" formatCode="0%">
                  <c:v>0.3</c:v>
                </c:pt>
                <c:pt idx="10" formatCode="0%">
                  <c:v>0.02</c:v>
                </c:pt>
                <c:pt idx="12" formatCode="0%">
                  <c:v>0.01</c:v>
                </c:pt>
              </c:numCache>
            </c:numRef>
          </c:val>
          <c:extLst>
            <c:ext xmlns:c16="http://schemas.microsoft.com/office/drawing/2014/chart" uri="{C3380CC4-5D6E-409C-BE32-E72D297353CC}">
              <c16:uniqueId val="{00000004-FC91-4078-B4C6-0144BD8C838B}"/>
            </c:ext>
          </c:extLst>
        </c:ser>
        <c:dLbls>
          <c:showLegendKey val="0"/>
          <c:showVal val="1"/>
          <c:showCatName val="0"/>
          <c:showSerName val="0"/>
          <c:showPercent val="0"/>
          <c:showBubbleSize val="0"/>
        </c:dLbls>
        <c:gapWidth val="219"/>
        <c:overlap val="100"/>
        <c:axId val="1165146367"/>
        <c:axId val="1169251839"/>
      </c:barChart>
      <c:catAx>
        <c:axId val="1165146367"/>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0"/>
          <a:lstStyle/>
          <a:p>
            <a:pPr>
              <a:defRPr sz="900" b="0" i="0" u="none" strike="noStrike" kern="1200" baseline="0">
                <a:solidFill>
                  <a:sysClr val="windowText" lastClr="000000"/>
                </a:solidFill>
                <a:latin typeface="+mj-lt"/>
                <a:ea typeface="+mn-ea"/>
                <a:cs typeface="Times New Roman" panose="02020603050405020304" pitchFamily="18" charset="0"/>
              </a:defRPr>
            </a:pPr>
            <a:endParaRPr lang="lt-LT"/>
          </a:p>
        </c:txPr>
        <c:crossAx val="1169251839"/>
        <c:crosses val="autoZero"/>
        <c:auto val="1"/>
        <c:lblAlgn val="ctr"/>
        <c:lblOffset val="100"/>
        <c:noMultiLvlLbl val="0"/>
      </c:catAx>
      <c:valAx>
        <c:axId val="1169251839"/>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j-lt"/>
                <a:ea typeface="+mn-ea"/>
                <a:cs typeface="Times New Roman" panose="02020603050405020304" pitchFamily="18" charset="0"/>
              </a:defRPr>
            </a:pPr>
            <a:endParaRPr lang="lt-LT"/>
          </a:p>
        </c:txPr>
        <c:crossAx val="116514636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j-lt"/>
              <a:ea typeface="+mn-ea"/>
              <a:cs typeface="Times New Roman" panose="02020603050405020304" pitchFamily="18" charset="0"/>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lt-LT" sz="1200">
                <a:solidFill>
                  <a:sysClr val="windowText" lastClr="000000"/>
                </a:solidFill>
                <a:latin typeface="Times New Roman" panose="02020603050405020304" pitchFamily="18" charset="0"/>
                <a:cs typeface="Times New Roman" panose="02020603050405020304" pitchFamily="18" charset="0"/>
              </a:rPr>
              <a:t>Darbuotojų pasitenkinimo darbu vertinimas (2023</a:t>
            </a:r>
            <a:r>
              <a:rPr lang="en-US" sz="1200">
                <a:solidFill>
                  <a:sysClr val="windowText" lastClr="000000"/>
                </a:solidFill>
                <a:latin typeface="Times New Roman" panose="02020603050405020304" pitchFamily="18" charset="0"/>
                <a:cs typeface="Times New Roman" panose="02020603050405020304" pitchFamily="18" charset="0"/>
              </a:rPr>
              <a:t> </a:t>
            </a:r>
            <a:r>
              <a:rPr lang="lt-LT" sz="1200">
                <a:solidFill>
                  <a:sysClr val="windowText" lastClr="000000"/>
                </a:solidFill>
                <a:latin typeface="Times New Roman" panose="02020603050405020304" pitchFamily="18" charset="0"/>
                <a:cs typeface="Times New Roman" panose="02020603050405020304" pitchFamily="18" charset="0"/>
              </a:rPr>
              <a:t>m.)</a:t>
            </a:r>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title>
    <c:autoTitleDeleted val="0"/>
    <c:plotArea>
      <c:layout/>
      <c:barChart>
        <c:barDir val="bar"/>
        <c:grouping val="stacked"/>
        <c:varyColors val="0"/>
        <c:ser>
          <c:idx val="0"/>
          <c:order val="0"/>
          <c:tx>
            <c:strRef>
              <c:f>Lapas1!$B$1</c:f>
              <c:strCache>
                <c:ptCount val="1"/>
                <c:pt idx="0">
                  <c:v>Labai gerai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Lapas1!$A$2:$A$12</c:f>
              <c:strCache>
                <c:ptCount val="11"/>
                <c:pt idx="0">
                  <c:v>Dalijimasis informacija, komunikacija</c:v>
                </c:pt>
                <c:pt idx="1">
                  <c:v>Bendradarbiavimas</c:v>
                </c:pt>
                <c:pt idx="2">
                  <c:v>Kvalifikacijos tobulinimo galimybės</c:v>
                </c:pt>
                <c:pt idx="3">
                  <c:v>Aprūpinimas darbo priemonėmis</c:v>
                </c:pt>
                <c:pt idx="4">
                  <c:v>Psichologinės atmosferos kūrimas</c:v>
                </c:pt>
                <c:pt idx="5">
                  <c:v>Darbuotojų motyvavimas ir skatinimas</c:v>
                </c:pt>
                <c:pt idx="6">
                  <c:v>Saviraiškos galimybės ir iniciatyvu palaikymas</c:v>
                </c:pt>
                <c:pt idx="7">
                  <c:v>Reagavimas į darbuotojų pasiūlymus, skundus</c:v>
                </c:pt>
                <c:pt idx="8">
                  <c:v>Atsižvelgimas į darbuotojų iškilusias situacijas</c:v>
                </c:pt>
                <c:pt idx="9">
                  <c:v>Sveikatos ir saugos darbe užtikrinimas </c:v>
                </c:pt>
                <c:pt idx="10">
                  <c:v>Pasitenkinimas darbu</c:v>
                </c:pt>
              </c:strCache>
            </c:strRef>
          </c:cat>
          <c:val>
            <c:numRef>
              <c:f>Lapas1!$B$2:$B$13</c:f>
              <c:numCache>
                <c:formatCode>0%</c:formatCode>
                <c:ptCount val="12"/>
                <c:pt idx="0">
                  <c:v>0.33700000000000002</c:v>
                </c:pt>
                <c:pt idx="1">
                  <c:v>0.34599999999999997</c:v>
                </c:pt>
                <c:pt idx="2">
                  <c:v>0.46200000000000002</c:v>
                </c:pt>
                <c:pt idx="3">
                  <c:v>0.67300000000000004</c:v>
                </c:pt>
                <c:pt idx="4">
                  <c:v>0.32700000000000001</c:v>
                </c:pt>
                <c:pt idx="5">
                  <c:v>0.47099999999999997</c:v>
                </c:pt>
                <c:pt idx="6">
                  <c:v>0.36499999999999999</c:v>
                </c:pt>
                <c:pt idx="7">
                  <c:v>0.442</c:v>
                </c:pt>
                <c:pt idx="8">
                  <c:v>0.40799999999999997</c:v>
                </c:pt>
                <c:pt idx="9">
                  <c:v>0.57699999999999996</c:v>
                </c:pt>
                <c:pt idx="10">
                  <c:v>0.42299999999999999</c:v>
                </c:pt>
              </c:numCache>
            </c:numRef>
          </c:val>
          <c:extLst>
            <c:ext xmlns:c16="http://schemas.microsoft.com/office/drawing/2014/chart" uri="{C3380CC4-5D6E-409C-BE32-E72D297353CC}">
              <c16:uniqueId val="{00000000-5BDD-4841-8E2C-B15C35AA5A66}"/>
            </c:ext>
          </c:extLst>
        </c:ser>
        <c:ser>
          <c:idx val="1"/>
          <c:order val="1"/>
          <c:tx>
            <c:strRef>
              <c:f>Lapas1!$C$1</c:f>
              <c:strCache>
                <c:ptCount val="1"/>
                <c:pt idx="0">
                  <c:v>Gerai </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Lapas1!$A$2:$A$12</c:f>
              <c:strCache>
                <c:ptCount val="11"/>
                <c:pt idx="0">
                  <c:v>Dalijimasis informacija, komunikacija</c:v>
                </c:pt>
                <c:pt idx="1">
                  <c:v>Bendradarbiavimas</c:v>
                </c:pt>
                <c:pt idx="2">
                  <c:v>Kvalifikacijos tobulinimo galimybės</c:v>
                </c:pt>
                <c:pt idx="3">
                  <c:v>Aprūpinimas darbo priemonėmis</c:v>
                </c:pt>
                <c:pt idx="4">
                  <c:v>Psichologinės atmosferos kūrimas</c:v>
                </c:pt>
                <c:pt idx="5">
                  <c:v>Darbuotojų motyvavimas ir skatinimas</c:v>
                </c:pt>
                <c:pt idx="6">
                  <c:v>Saviraiškos galimybės ir iniciatyvu palaikymas</c:v>
                </c:pt>
                <c:pt idx="7">
                  <c:v>Reagavimas į darbuotojų pasiūlymus, skundus</c:v>
                </c:pt>
                <c:pt idx="8">
                  <c:v>Atsižvelgimas į darbuotojų iškilusias situacijas</c:v>
                </c:pt>
                <c:pt idx="9">
                  <c:v>Sveikatos ir saugos darbe užtikrinimas </c:v>
                </c:pt>
                <c:pt idx="10">
                  <c:v>Pasitenkinimas darbu</c:v>
                </c:pt>
              </c:strCache>
            </c:strRef>
          </c:cat>
          <c:val>
            <c:numRef>
              <c:f>Lapas1!$C$2:$C$13</c:f>
              <c:numCache>
                <c:formatCode>0%</c:formatCode>
                <c:ptCount val="12"/>
                <c:pt idx="0">
                  <c:v>0.308</c:v>
                </c:pt>
                <c:pt idx="1">
                  <c:v>0.35599999999999998</c:v>
                </c:pt>
                <c:pt idx="2">
                  <c:v>0.317</c:v>
                </c:pt>
                <c:pt idx="3">
                  <c:v>0.221</c:v>
                </c:pt>
                <c:pt idx="4">
                  <c:v>0.34599999999999997</c:v>
                </c:pt>
                <c:pt idx="5">
                  <c:v>0.40400000000000003</c:v>
                </c:pt>
                <c:pt idx="6">
                  <c:v>0.34599999999999997</c:v>
                </c:pt>
                <c:pt idx="7">
                  <c:v>0.28799999999999998</c:v>
                </c:pt>
                <c:pt idx="8">
                  <c:v>0.35899999999999999</c:v>
                </c:pt>
                <c:pt idx="9">
                  <c:v>0.26900000000000002</c:v>
                </c:pt>
                <c:pt idx="10">
                  <c:v>0.45200000000000001</c:v>
                </c:pt>
              </c:numCache>
            </c:numRef>
          </c:val>
          <c:extLst>
            <c:ext xmlns:c16="http://schemas.microsoft.com/office/drawing/2014/chart" uri="{C3380CC4-5D6E-409C-BE32-E72D297353CC}">
              <c16:uniqueId val="{00000001-5BDD-4841-8E2C-B15C35AA5A66}"/>
            </c:ext>
          </c:extLst>
        </c:ser>
        <c:ser>
          <c:idx val="2"/>
          <c:order val="2"/>
          <c:tx>
            <c:strRef>
              <c:f>Lapas1!$D$1</c:f>
              <c:strCache>
                <c:ptCount val="1"/>
                <c:pt idx="0">
                  <c:v>Patenkinamai</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Lapas1!$A$2:$A$12</c:f>
              <c:strCache>
                <c:ptCount val="11"/>
                <c:pt idx="0">
                  <c:v>Dalijimasis informacija, komunikacija</c:v>
                </c:pt>
                <c:pt idx="1">
                  <c:v>Bendradarbiavimas</c:v>
                </c:pt>
                <c:pt idx="2">
                  <c:v>Kvalifikacijos tobulinimo galimybės</c:v>
                </c:pt>
                <c:pt idx="3">
                  <c:v>Aprūpinimas darbo priemonėmis</c:v>
                </c:pt>
                <c:pt idx="4">
                  <c:v>Psichologinės atmosferos kūrimas</c:v>
                </c:pt>
                <c:pt idx="5">
                  <c:v>Darbuotojų motyvavimas ir skatinimas</c:v>
                </c:pt>
                <c:pt idx="6">
                  <c:v>Saviraiškos galimybės ir iniciatyvu palaikymas</c:v>
                </c:pt>
                <c:pt idx="7">
                  <c:v>Reagavimas į darbuotojų pasiūlymus, skundus</c:v>
                </c:pt>
                <c:pt idx="8">
                  <c:v>Atsižvelgimas į darbuotojų iškilusias situacijas</c:v>
                </c:pt>
                <c:pt idx="9">
                  <c:v>Sveikatos ir saugos darbe užtikrinimas </c:v>
                </c:pt>
                <c:pt idx="10">
                  <c:v>Pasitenkinimas darbu</c:v>
                </c:pt>
              </c:strCache>
            </c:strRef>
          </c:cat>
          <c:val>
            <c:numRef>
              <c:f>Lapas1!$D$2:$D$13</c:f>
              <c:numCache>
                <c:formatCode>0%</c:formatCode>
                <c:ptCount val="12"/>
                <c:pt idx="0">
                  <c:v>0.27900000000000003</c:v>
                </c:pt>
                <c:pt idx="1">
                  <c:v>0.221</c:v>
                </c:pt>
                <c:pt idx="2">
                  <c:v>0.125</c:v>
                </c:pt>
                <c:pt idx="3">
                  <c:v>0.106</c:v>
                </c:pt>
                <c:pt idx="4">
                  <c:v>0.24</c:v>
                </c:pt>
                <c:pt idx="5">
                  <c:v>6.7000000000000004E-2</c:v>
                </c:pt>
                <c:pt idx="6">
                  <c:v>0.21199999999999999</c:v>
                </c:pt>
                <c:pt idx="7">
                  <c:v>0.17299999999999999</c:v>
                </c:pt>
                <c:pt idx="8">
                  <c:v>0.11700000000000001</c:v>
                </c:pt>
                <c:pt idx="9">
                  <c:v>0.106</c:v>
                </c:pt>
                <c:pt idx="10">
                  <c:v>7.6999999999999999E-2</c:v>
                </c:pt>
              </c:numCache>
            </c:numRef>
          </c:val>
          <c:extLst>
            <c:ext xmlns:c16="http://schemas.microsoft.com/office/drawing/2014/chart" uri="{C3380CC4-5D6E-409C-BE32-E72D297353CC}">
              <c16:uniqueId val="{00000002-5BDD-4841-8E2C-B15C35AA5A66}"/>
            </c:ext>
          </c:extLst>
        </c:ser>
        <c:ser>
          <c:idx val="3"/>
          <c:order val="3"/>
          <c:tx>
            <c:strRef>
              <c:f>Lapas1!$E$1</c:f>
              <c:strCache>
                <c:ptCount val="1"/>
                <c:pt idx="0">
                  <c:v>Blogai </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Lapas1!$A$2:$A$12</c:f>
              <c:strCache>
                <c:ptCount val="11"/>
                <c:pt idx="0">
                  <c:v>Dalijimasis informacija, komunikacija</c:v>
                </c:pt>
                <c:pt idx="1">
                  <c:v>Bendradarbiavimas</c:v>
                </c:pt>
                <c:pt idx="2">
                  <c:v>Kvalifikacijos tobulinimo galimybės</c:v>
                </c:pt>
                <c:pt idx="3">
                  <c:v>Aprūpinimas darbo priemonėmis</c:v>
                </c:pt>
                <c:pt idx="4">
                  <c:v>Psichologinės atmosferos kūrimas</c:v>
                </c:pt>
                <c:pt idx="5">
                  <c:v>Darbuotojų motyvavimas ir skatinimas</c:v>
                </c:pt>
                <c:pt idx="6">
                  <c:v>Saviraiškos galimybės ir iniciatyvu palaikymas</c:v>
                </c:pt>
                <c:pt idx="7">
                  <c:v>Reagavimas į darbuotojų pasiūlymus, skundus</c:v>
                </c:pt>
                <c:pt idx="8">
                  <c:v>Atsižvelgimas į darbuotojų iškilusias situacijas</c:v>
                </c:pt>
                <c:pt idx="9">
                  <c:v>Sveikatos ir saugos darbe užtikrinimas </c:v>
                </c:pt>
                <c:pt idx="10">
                  <c:v>Pasitenkinimas darbu</c:v>
                </c:pt>
              </c:strCache>
            </c:strRef>
          </c:cat>
          <c:val>
            <c:numRef>
              <c:f>Lapas1!$E$2:$E$13</c:f>
              <c:numCache>
                <c:formatCode>0%</c:formatCode>
                <c:ptCount val="12"/>
                <c:pt idx="0">
                  <c:v>5.8000000000000003E-2</c:v>
                </c:pt>
                <c:pt idx="1">
                  <c:v>4.8000000000000001E-2</c:v>
                </c:pt>
                <c:pt idx="2">
                  <c:v>3.7999999999999999E-2</c:v>
                </c:pt>
                <c:pt idx="4">
                  <c:v>7.6999999999999999E-2</c:v>
                </c:pt>
                <c:pt idx="5">
                  <c:v>3.7999999999999999E-2</c:v>
                </c:pt>
                <c:pt idx="6">
                  <c:v>4.8000000000000001E-2</c:v>
                </c:pt>
                <c:pt idx="7">
                  <c:v>3.7999999999999999E-2</c:v>
                </c:pt>
                <c:pt idx="8">
                  <c:v>5.8000000000000003E-2</c:v>
                </c:pt>
                <c:pt idx="9">
                  <c:v>4.8000000000000001E-2</c:v>
                </c:pt>
                <c:pt idx="10">
                  <c:v>3.7999999999999999E-2</c:v>
                </c:pt>
              </c:numCache>
            </c:numRef>
          </c:val>
          <c:extLst>
            <c:ext xmlns:c16="http://schemas.microsoft.com/office/drawing/2014/chart" uri="{C3380CC4-5D6E-409C-BE32-E72D297353CC}">
              <c16:uniqueId val="{00000003-5BDD-4841-8E2C-B15C35AA5A66}"/>
            </c:ext>
          </c:extLst>
        </c:ser>
        <c:ser>
          <c:idx val="4"/>
          <c:order val="4"/>
          <c:tx>
            <c:strRef>
              <c:f>Lapas1!$F$1</c:f>
              <c:strCache>
                <c:ptCount val="1"/>
                <c:pt idx="0">
                  <c:v>Nežinau </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Lapas1!$A$2:$A$12</c:f>
              <c:strCache>
                <c:ptCount val="11"/>
                <c:pt idx="0">
                  <c:v>Dalijimasis informacija, komunikacija</c:v>
                </c:pt>
                <c:pt idx="1">
                  <c:v>Bendradarbiavimas</c:v>
                </c:pt>
                <c:pt idx="2">
                  <c:v>Kvalifikacijos tobulinimo galimybės</c:v>
                </c:pt>
                <c:pt idx="3">
                  <c:v>Aprūpinimas darbo priemonėmis</c:v>
                </c:pt>
                <c:pt idx="4">
                  <c:v>Psichologinės atmosferos kūrimas</c:v>
                </c:pt>
                <c:pt idx="5">
                  <c:v>Darbuotojų motyvavimas ir skatinimas</c:v>
                </c:pt>
                <c:pt idx="6">
                  <c:v>Saviraiškos galimybės ir iniciatyvu palaikymas</c:v>
                </c:pt>
                <c:pt idx="7">
                  <c:v>Reagavimas į darbuotojų pasiūlymus, skundus</c:v>
                </c:pt>
                <c:pt idx="8">
                  <c:v>Atsižvelgimas į darbuotojų iškilusias situacijas</c:v>
                </c:pt>
                <c:pt idx="9">
                  <c:v>Sveikatos ir saugos darbe užtikrinimas </c:v>
                </c:pt>
                <c:pt idx="10">
                  <c:v>Pasitenkinimas darbu</c:v>
                </c:pt>
              </c:strCache>
            </c:strRef>
          </c:cat>
          <c:val>
            <c:numRef>
              <c:f>Lapas1!$F$2:$F$13</c:f>
              <c:numCache>
                <c:formatCode>0%</c:formatCode>
                <c:ptCount val="12"/>
                <c:pt idx="0">
                  <c:v>1.9E-2</c:v>
                </c:pt>
                <c:pt idx="1">
                  <c:v>2.9000000000000001E-2</c:v>
                </c:pt>
                <c:pt idx="2">
                  <c:v>5.8000000000000003E-2</c:v>
                </c:pt>
                <c:pt idx="4">
                  <c:v>0.01</c:v>
                </c:pt>
                <c:pt idx="5">
                  <c:v>1.9E-2</c:v>
                </c:pt>
                <c:pt idx="6">
                  <c:v>2.9000000000000001E-2</c:v>
                </c:pt>
                <c:pt idx="7">
                  <c:v>5.8000000000000003E-2</c:v>
                </c:pt>
                <c:pt idx="8">
                  <c:v>5.8000000000000003E-2</c:v>
                </c:pt>
                <c:pt idx="9">
                  <c:v>0</c:v>
                </c:pt>
                <c:pt idx="10">
                  <c:v>0.01</c:v>
                </c:pt>
              </c:numCache>
            </c:numRef>
          </c:val>
          <c:extLst>
            <c:ext xmlns:c16="http://schemas.microsoft.com/office/drawing/2014/chart" uri="{C3380CC4-5D6E-409C-BE32-E72D297353CC}">
              <c16:uniqueId val="{00000004-5BDD-4841-8E2C-B15C35AA5A66}"/>
            </c:ext>
          </c:extLst>
        </c:ser>
        <c:dLbls>
          <c:showLegendKey val="0"/>
          <c:showVal val="0"/>
          <c:showCatName val="0"/>
          <c:showSerName val="0"/>
          <c:showPercent val="0"/>
          <c:showBubbleSize val="0"/>
        </c:dLbls>
        <c:gapWidth val="219"/>
        <c:overlap val="100"/>
        <c:axId val="1280920111"/>
        <c:axId val="1452789759"/>
      </c:barChart>
      <c:catAx>
        <c:axId val="12809201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j-lt"/>
                <a:ea typeface="+mn-ea"/>
                <a:cs typeface="Times New Roman" panose="02020603050405020304" pitchFamily="18" charset="0"/>
              </a:defRPr>
            </a:pPr>
            <a:endParaRPr lang="lt-LT"/>
          </a:p>
        </c:txPr>
        <c:crossAx val="1452789759"/>
        <c:crosses val="autoZero"/>
        <c:auto val="1"/>
        <c:lblAlgn val="ctr"/>
        <c:lblOffset val="100"/>
        <c:noMultiLvlLbl val="0"/>
      </c:catAx>
      <c:valAx>
        <c:axId val="1452789759"/>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j-lt"/>
                <a:ea typeface="+mn-ea"/>
                <a:cs typeface="Times New Roman" panose="02020603050405020304" pitchFamily="18" charset="0"/>
              </a:defRPr>
            </a:pPr>
            <a:endParaRPr lang="lt-LT"/>
          </a:p>
        </c:txPr>
        <c:crossAx val="128092011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j-lt"/>
              <a:ea typeface="+mn-ea"/>
              <a:cs typeface="Times New Roman" panose="02020603050405020304" pitchFamily="18" charset="0"/>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lgn="just">
        <a:defRPr/>
      </a:pPr>
      <a:endParaRPr lang="lt-LT"/>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0" i="0" u="none" strike="noStrike" kern="1200" spc="0" baseline="0">
                <a:solidFill>
                  <a:schemeClr val="tx1"/>
                </a:solidFill>
                <a:latin typeface="+mj-lt"/>
                <a:ea typeface="+mn-ea"/>
                <a:cs typeface="Times New Roman" panose="02020603050405020304" pitchFamily="18" charset="0"/>
              </a:defRPr>
            </a:pPr>
            <a:r>
              <a:rPr lang="lt-LT" sz="1000">
                <a:solidFill>
                  <a:schemeClr val="tx1"/>
                </a:solidFill>
                <a:latin typeface="+mj-lt"/>
              </a:rPr>
              <a:t>Darbuotojų pasitenkinimo darbu vertinimas (2024 m.) </a:t>
            </a:r>
          </a:p>
          <a:p>
            <a:pPr>
              <a:defRPr sz="1000">
                <a:solidFill>
                  <a:schemeClr val="tx1"/>
                </a:solidFill>
                <a:latin typeface="+mj-lt"/>
              </a:defRPr>
            </a:pPr>
            <a:endParaRPr lang="en-US" sz="1000">
              <a:solidFill>
                <a:schemeClr val="tx1"/>
              </a:solidFill>
              <a:latin typeface="+mj-lt"/>
            </a:endParaRPr>
          </a:p>
        </c:rich>
      </c:tx>
      <c:overlay val="0"/>
      <c:spPr>
        <a:noFill/>
        <a:ln>
          <a:noFill/>
        </a:ln>
        <a:effectLst/>
      </c:spPr>
      <c:txPr>
        <a:bodyPr rot="0" spcFirstLastPara="1" vertOverflow="ellipsis" vert="horz" wrap="square" anchor="ctr" anchorCtr="1"/>
        <a:lstStyle/>
        <a:p>
          <a:pPr>
            <a:defRPr sz="1000" b="0" i="0" u="none" strike="noStrike" kern="1200" spc="0" baseline="0">
              <a:solidFill>
                <a:schemeClr val="tx1"/>
              </a:solidFill>
              <a:latin typeface="+mj-lt"/>
              <a:ea typeface="+mn-ea"/>
              <a:cs typeface="Times New Roman" panose="02020603050405020304" pitchFamily="18" charset="0"/>
            </a:defRPr>
          </a:pPr>
          <a:endParaRPr lang="lt-LT"/>
        </a:p>
      </c:txPr>
    </c:title>
    <c:autoTitleDeleted val="0"/>
    <c:plotArea>
      <c:layout/>
      <c:barChart>
        <c:barDir val="bar"/>
        <c:grouping val="stacked"/>
        <c:varyColors val="0"/>
        <c:ser>
          <c:idx val="0"/>
          <c:order val="0"/>
          <c:tx>
            <c:strRef>
              <c:f>Sheet1!$B$1</c:f>
              <c:strCache>
                <c:ptCount val="1"/>
                <c:pt idx="0">
                  <c:v>Labai gerai</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Sheet1!$A$2:$A$12</c:f>
              <c:strCache>
                <c:ptCount val="11"/>
                <c:pt idx="0">
                  <c:v>Dalinimasis informacija, komunikacija</c:v>
                </c:pt>
                <c:pt idx="1">
                  <c:v>Bendradarbiavimas</c:v>
                </c:pt>
                <c:pt idx="2">
                  <c:v>Kvalifikacijos tobulinimo galimybės</c:v>
                </c:pt>
                <c:pt idx="3">
                  <c:v>Aprūpinimas darbo priemonėmis</c:v>
                </c:pt>
                <c:pt idx="4">
                  <c:v>Psichologinės atmosferos kūrimas</c:v>
                </c:pt>
                <c:pt idx="5">
                  <c:v>Darbuotojų motyvavimas ir skatinimas</c:v>
                </c:pt>
                <c:pt idx="6">
                  <c:v>Saviraiškos galimybės ir iniciatyvų palaikymas</c:v>
                </c:pt>
                <c:pt idx="7">
                  <c:v>Reagavimas į darbuotojų pasiūlymus, skundus</c:v>
                </c:pt>
                <c:pt idx="8">
                  <c:v>Atsižvelgimas į darbuotojų iškilusias situacijas</c:v>
                </c:pt>
                <c:pt idx="9">
                  <c:v>Sveikatos ir saugos darbe užtikrinimas</c:v>
                </c:pt>
                <c:pt idx="10">
                  <c:v>Pasitenkinimas darbu</c:v>
                </c:pt>
              </c:strCache>
            </c:strRef>
          </c:cat>
          <c:val>
            <c:numRef>
              <c:f>Sheet1!$B$2:$B$12</c:f>
              <c:numCache>
                <c:formatCode>0%</c:formatCode>
                <c:ptCount val="11"/>
                <c:pt idx="0">
                  <c:v>0.41</c:v>
                </c:pt>
                <c:pt idx="1">
                  <c:v>0.4</c:v>
                </c:pt>
                <c:pt idx="2">
                  <c:v>0.55200000000000005</c:v>
                </c:pt>
                <c:pt idx="3">
                  <c:v>0.61499999999999999</c:v>
                </c:pt>
                <c:pt idx="4">
                  <c:v>0.39800000000000002</c:v>
                </c:pt>
                <c:pt idx="5">
                  <c:v>0.51900000000000002</c:v>
                </c:pt>
                <c:pt idx="6">
                  <c:v>0.41</c:v>
                </c:pt>
                <c:pt idx="7">
                  <c:v>0.41899999999999998</c:v>
                </c:pt>
                <c:pt idx="8">
                  <c:v>0.39</c:v>
                </c:pt>
                <c:pt idx="9">
                  <c:v>0.52900000000000003</c:v>
                </c:pt>
                <c:pt idx="10">
                  <c:v>0.48099999999999998</c:v>
                </c:pt>
              </c:numCache>
            </c:numRef>
          </c:val>
          <c:extLst>
            <c:ext xmlns:c16="http://schemas.microsoft.com/office/drawing/2014/chart" uri="{C3380CC4-5D6E-409C-BE32-E72D297353CC}">
              <c16:uniqueId val="{00000000-03CB-4313-896B-A83938C0961A}"/>
            </c:ext>
          </c:extLst>
        </c:ser>
        <c:ser>
          <c:idx val="1"/>
          <c:order val="1"/>
          <c:tx>
            <c:strRef>
              <c:f>Sheet1!$C$1</c:f>
              <c:strCache>
                <c:ptCount val="1"/>
                <c:pt idx="0">
                  <c:v>Gerai</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Sheet1!$A$2:$A$12</c:f>
              <c:strCache>
                <c:ptCount val="11"/>
                <c:pt idx="0">
                  <c:v>Dalinimasis informacija, komunikacija</c:v>
                </c:pt>
                <c:pt idx="1">
                  <c:v>Bendradarbiavimas</c:v>
                </c:pt>
                <c:pt idx="2">
                  <c:v>Kvalifikacijos tobulinimo galimybės</c:v>
                </c:pt>
                <c:pt idx="3">
                  <c:v>Aprūpinimas darbo priemonėmis</c:v>
                </c:pt>
                <c:pt idx="4">
                  <c:v>Psichologinės atmosferos kūrimas</c:v>
                </c:pt>
                <c:pt idx="5">
                  <c:v>Darbuotojų motyvavimas ir skatinimas</c:v>
                </c:pt>
                <c:pt idx="6">
                  <c:v>Saviraiškos galimybės ir iniciatyvų palaikymas</c:v>
                </c:pt>
                <c:pt idx="7">
                  <c:v>Reagavimas į darbuotojų pasiūlymus, skundus</c:v>
                </c:pt>
                <c:pt idx="8">
                  <c:v>Atsižvelgimas į darbuotojų iškilusias situacijas</c:v>
                </c:pt>
                <c:pt idx="9">
                  <c:v>Sveikatos ir saugos darbe užtikrinimas</c:v>
                </c:pt>
                <c:pt idx="10">
                  <c:v>Pasitenkinimas darbu</c:v>
                </c:pt>
              </c:strCache>
            </c:strRef>
          </c:cat>
          <c:val>
            <c:numRef>
              <c:f>Sheet1!$C$2:$C$12</c:f>
              <c:numCache>
                <c:formatCode>0%</c:formatCode>
                <c:ptCount val="11"/>
                <c:pt idx="0">
                  <c:v>0.26700000000000002</c:v>
                </c:pt>
                <c:pt idx="1">
                  <c:v>0.39</c:v>
                </c:pt>
                <c:pt idx="2">
                  <c:v>0.32400000000000001</c:v>
                </c:pt>
                <c:pt idx="3">
                  <c:v>0.27900000000000003</c:v>
                </c:pt>
                <c:pt idx="4">
                  <c:v>0.311</c:v>
                </c:pt>
                <c:pt idx="5">
                  <c:v>0.28799999999999998</c:v>
                </c:pt>
                <c:pt idx="6">
                  <c:v>0.438</c:v>
                </c:pt>
                <c:pt idx="7">
                  <c:v>0.33300000000000002</c:v>
                </c:pt>
                <c:pt idx="8">
                  <c:v>0.34300000000000003</c:v>
                </c:pt>
                <c:pt idx="9">
                  <c:v>0.32700000000000001</c:v>
                </c:pt>
                <c:pt idx="10">
                  <c:v>0.38500000000000001</c:v>
                </c:pt>
              </c:numCache>
            </c:numRef>
          </c:val>
          <c:extLst>
            <c:ext xmlns:c16="http://schemas.microsoft.com/office/drawing/2014/chart" uri="{C3380CC4-5D6E-409C-BE32-E72D297353CC}">
              <c16:uniqueId val="{00000001-03CB-4313-896B-A83938C0961A}"/>
            </c:ext>
          </c:extLst>
        </c:ser>
        <c:ser>
          <c:idx val="2"/>
          <c:order val="2"/>
          <c:tx>
            <c:strRef>
              <c:f>Sheet1!$D$1</c:f>
              <c:strCache>
                <c:ptCount val="1"/>
                <c:pt idx="0">
                  <c:v>Patenkinamai</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Sheet1!$A$2:$A$12</c:f>
              <c:strCache>
                <c:ptCount val="11"/>
                <c:pt idx="0">
                  <c:v>Dalinimasis informacija, komunikacija</c:v>
                </c:pt>
                <c:pt idx="1">
                  <c:v>Bendradarbiavimas</c:v>
                </c:pt>
                <c:pt idx="2">
                  <c:v>Kvalifikacijos tobulinimo galimybės</c:v>
                </c:pt>
                <c:pt idx="3">
                  <c:v>Aprūpinimas darbo priemonėmis</c:v>
                </c:pt>
                <c:pt idx="4">
                  <c:v>Psichologinės atmosferos kūrimas</c:v>
                </c:pt>
                <c:pt idx="5">
                  <c:v>Darbuotojų motyvavimas ir skatinimas</c:v>
                </c:pt>
                <c:pt idx="6">
                  <c:v>Saviraiškos galimybės ir iniciatyvų palaikymas</c:v>
                </c:pt>
                <c:pt idx="7">
                  <c:v>Reagavimas į darbuotojų pasiūlymus, skundus</c:v>
                </c:pt>
                <c:pt idx="8">
                  <c:v>Atsižvelgimas į darbuotojų iškilusias situacijas</c:v>
                </c:pt>
                <c:pt idx="9">
                  <c:v>Sveikatos ir saugos darbe užtikrinimas</c:v>
                </c:pt>
                <c:pt idx="10">
                  <c:v>Pasitenkinimas darbu</c:v>
                </c:pt>
              </c:strCache>
            </c:strRef>
          </c:cat>
          <c:val>
            <c:numRef>
              <c:f>Sheet1!$D$2:$D$12</c:f>
              <c:numCache>
                <c:formatCode>0%</c:formatCode>
                <c:ptCount val="11"/>
                <c:pt idx="0">
                  <c:v>0.219</c:v>
                </c:pt>
                <c:pt idx="1">
                  <c:v>0.18099999999999999</c:v>
                </c:pt>
                <c:pt idx="2">
                  <c:v>5.7000000000000002E-2</c:v>
                </c:pt>
                <c:pt idx="3">
                  <c:v>9.6000000000000002E-2</c:v>
                </c:pt>
                <c:pt idx="4">
                  <c:v>0.223</c:v>
                </c:pt>
                <c:pt idx="5">
                  <c:v>0.14399999999999999</c:v>
                </c:pt>
                <c:pt idx="6">
                  <c:v>9.5000000000000001E-2</c:v>
                </c:pt>
                <c:pt idx="7">
                  <c:v>0.13300000000000001</c:v>
                </c:pt>
                <c:pt idx="8">
                  <c:v>0.152</c:v>
                </c:pt>
                <c:pt idx="9">
                  <c:v>6.7000000000000004E-2</c:v>
                </c:pt>
                <c:pt idx="10">
                  <c:v>9.6000000000000002E-2</c:v>
                </c:pt>
              </c:numCache>
            </c:numRef>
          </c:val>
          <c:extLst>
            <c:ext xmlns:c16="http://schemas.microsoft.com/office/drawing/2014/chart" uri="{C3380CC4-5D6E-409C-BE32-E72D297353CC}">
              <c16:uniqueId val="{00000002-03CB-4313-896B-A83938C0961A}"/>
            </c:ext>
          </c:extLst>
        </c:ser>
        <c:ser>
          <c:idx val="3"/>
          <c:order val="3"/>
          <c:tx>
            <c:strRef>
              <c:f>Sheet1!$E$1</c:f>
              <c:strCache>
                <c:ptCount val="1"/>
                <c:pt idx="0">
                  <c:v>Blogai</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Sheet1!$A$2:$A$12</c:f>
              <c:strCache>
                <c:ptCount val="11"/>
                <c:pt idx="0">
                  <c:v>Dalinimasis informacija, komunikacija</c:v>
                </c:pt>
                <c:pt idx="1">
                  <c:v>Bendradarbiavimas</c:v>
                </c:pt>
                <c:pt idx="2">
                  <c:v>Kvalifikacijos tobulinimo galimybės</c:v>
                </c:pt>
                <c:pt idx="3">
                  <c:v>Aprūpinimas darbo priemonėmis</c:v>
                </c:pt>
                <c:pt idx="4">
                  <c:v>Psichologinės atmosferos kūrimas</c:v>
                </c:pt>
                <c:pt idx="5">
                  <c:v>Darbuotojų motyvavimas ir skatinimas</c:v>
                </c:pt>
                <c:pt idx="6">
                  <c:v>Saviraiškos galimybės ir iniciatyvų palaikymas</c:v>
                </c:pt>
                <c:pt idx="7">
                  <c:v>Reagavimas į darbuotojų pasiūlymus, skundus</c:v>
                </c:pt>
                <c:pt idx="8">
                  <c:v>Atsižvelgimas į darbuotojų iškilusias situacijas</c:v>
                </c:pt>
                <c:pt idx="9">
                  <c:v>Sveikatos ir saugos darbe užtikrinimas</c:v>
                </c:pt>
                <c:pt idx="10">
                  <c:v>Pasitenkinimas darbu</c:v>
                </c:pt>
              </c:strCache>
            </c:strRef>
          </c:cat>
          <c:val>
            <c:numRef>
              <c:f>Sheet1!$E$2:$E$12</c:f>
              <c:numCache>
                <c:formatCode>0%</c:formatCode>
                <c:ptCount val="11"/>
                <c:pt idx="0">
                  <c:v>6.7000000000000004E-2</c:v>
                </c:pt>
                <c:pt idx="1">
                  <c:v>1.9E-2</c:v>
                </c:pt>
                <c:pt idx="2">
                  <c:v>5.7000000000000002E-2</c:v>
                </c:pt>
                <c:pt idx="3">
                  <c:v>0.01</c:v>
                </c:pt>
                <c:pt idx="4">
                  <c:v>5.8000000000000003E-2</c:v>
                </c:pt>
                <c:pt idx="5">
                  <c:v>2.9000000000000001E-2</c:v>
                </c:pt>
                <c:pt idx="6">
                  <c:v>2.9000000000000001E-2</c:v>
                </c:pt>
                <c:pt idx="7">
                  <c:v>9.5000000000000001E-2</c:v>
                </c:pt>
                <c:pt idx="8">
                  <c:v>8.5999999999999993E-2</c:v>
                </c:pt>
                <c:pt idx="9">
                  <c:v>5.8000000000000003E-2</c:v>
                </c:pt>
                <c:pt idx="10">
                  <c:v>2.9000000000000001E-2</c:v>
                </c:pt>
              </c:numCache>
            </c:numRef>
          </c:val>
          <c:extLst>
            <c:ext xmlns:c16="http://schemas.microsoft.com/office/drawing/2014/chart" uri="{C3380CC4-5D6E-409C-BE32-E72D297353CC}">
              <c16:uniqueId val="{00000003-03CB-4313-896B-A83938C0961A}"/>
            </c:ext>
          </c:extLst>
        </c:ser>
        <c:ser>
          <c:idx val="4"/>
          <c:order val="4"/>
          <c:tx>
            <c:strRef>
              <c:f>Sheet1!$F$1</c:f>
              <c:strCache>
                <c:ptCount val="1"/>
                <c:pt idx="0">
                  <c:v>Nežinau</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Sheet1!$A$2:$A$12</c:f>
              <c:strCache>
                <c:ptCount val="11"/>
                <c:pt idx="0">
                  <c:v>Dalinimasis informacija, komunikacija</c:v>
                </c:pt>
                <c:pt idx="1">
                  <c:v>Bendradarbiavimas</c:v>
                </c:pt>
                <c:pt idx="2">
                  <c:v>Kvalifikacijos tobulinimo galimybės</c:v>
                </c:pt>
                <c:pt idx="3">
                  <c:v>Aprūpinimas darbo priemonėmis</c:v>
                </c:pt>
                <c:pt idx="4">
                  <c:v>Psichologinės atmosferos kūrimas</c:v>
                </c:pt>
                <c:pt idx="5">
                  <c:v>Darbuotojų motyvavimas ir skatinimas</c:v>
                </c:pt>
                <c:pt idx="6">
                  <c:v>Saviraiškos galimybės ir iniciatyvų palaikymas</c:v>
                </c:pt>
                <c:pt idx="7">
                  <c:v>Reagavimas į darbuotojų pasiūlymus, skundus</c:v>
                </c:pt>
                <c:pt idx="8">
                  <c:v>Atsižvelgimas į darbuotojų iškilusias situacijas</c:v>
                </c:pt>
                <c:pt idx="9">
                  <c:v>Sveikatos ir saugos darbe užtikrinimas</c:v>
                </c:pt>
                <c:pt idx="10">
                  <c:v>Pasitenkinimas darbu</c:v>
                </c:pt>
              </c:strCache>
            </c:strRef>
          </c:cat>
          <c:val>
            <c:numRef>
              <c:f>Sheet1!$F$2:$F$12</c:f>
              <c:numCache>
                <c:formatCode>0%</c:formatCode>
                <c:ptCount val="11"/>
                <c:pt idx="0">
                  <c:v>3.7999999999999999E-2</c:v>
                </c:pt>
                <c:pt idx="1">
                  <c:v>0.01</c:v>
                </c:pt>
                <c:pt idx="2">
                  <c:v>0.01</c:v>
                </c:pt>
                <c:pt idx="3">
                  <c:v>0</c:v>
                </c:pt>
                <c:pt idx="4">
                  <c:v>0.01</c:v>
                </c:pt>
                <c:pt idx="5">
                  <c:v>1.9E-2</c:v>
                </c:pt>
                <c:pt idx="6">
                  <c:v>2.9000000000000001E-2</c:v>
                </c:pt>
                <c:pt idx="7">
                  <c:v>1.9E-2</c:v>
                </c:pt>
                <c:pt idx="8">
                  <c:v>2.9000000000000001E-2</c:v>
                </c:pt>
                <c:pt idx="9">
                  <c:v>1.9E-2</c:v>
                </c:pt>
                <c:pt idx="10">
                  <c:v>0.01</c:v>
                </c:pt>
              </c:numCache>
            </c:numRef>
          </c:val>
          <c:extLst>
            <c:ext xmlns:c16="http://schemas.microsoft.com/office/drawing/2014/chart" uri="{C3380CC4-5D6E-409C-BE32-E72D297353CC}">
              <c16:uniqueId val="{00000004-03CB-4313-896B-A83938C0961A}"/>
            </c:ext>
          </c:extLst>
        </c:ser>
        <c:dLbls>
          <c:showLegendKey val="0"/>
          <c:showVal val="1"/>
          <c:showCatName val="0"/>
          <c:showSerName val="0"/>
          <c:showPercent val="0"/>
          <c:showBubbleSize val="0"/>
        </c:dLbls>
        <c:gapWidth val="219"/>
        <c:overlap val="100"/>
        <c:axId val="314639392"/>
        <c:axId val="307847472"/>
      </c:barChart>
      <c:catAx>
        <c:axId val="3146393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j-lt"/>
                <a:ea typeface="+mn-ea"/>
                <a:cs typeface="Times New Roman" panose="02020603050405020304" pitchFamily="18" charset="0"/>
              </a:defRPr>
            </a:pPr>
            <a:endParaRPr lang="lt-LT"/>
          </a:p>
        </c:txPr>
        <c:crossAx val="307847472"/>
        <c:crosses val="autoZero"/>
        <c:auto val="1"/>
        <c:lblAlgn val="l"/>
        <c:lblOffset val="100"/>
        <c:noMultiLvlLbl val="0"/>
      </c:catAx>
      <c:valAx>
        <c:axId val="307847472"/>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j-lt"/>
                <a:ea typeface="+mn-ea"/>
                <a:cs typeface="Times New Roman" panose="02020603050405020304" pitchFamily="18" charset="0"/>
              </a:defRPr>
            </a:pPr>
            <a:endParaRPr lang="lt-LT"/>
          </a:p>
        </c:txPr>
        <c:crossAx val="314639392"/>
        <c:crosses val="autoZero"/>
        <c:crossBetween val="between"/>
        <c:majorUnit val="0.1"/>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j-lt"/>
              <a:ea typeface="+mn-ea"/>
              <a:cs typeface="Times New Roman" panose="02020603050405020304" pitchFamily="18" charset="0"/>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lt-LT"/>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spc="0" baseline="0">
                <a:solidFill>
                  <a:sysClr val="windowText" lastClr="000000"/>
                </a:solidFill>
                <a:latin typeface="+mj-lt"/>
                <a:ea typeface="+mn-ea"/>
                <a:cs typeface="+mn-cs"/>
              </a:defRPr>
            </a:pPr>
            <a:r>
              <a:rPr lang="lt-LT" sz="1000" b="0" i="0" baseline="0">
                <a:solidFill>
                  <a:sysClr val="windowText" lastClr="000000"/>
                </a:solidFill>
                <a:effectLst/>
                <a:latin typeface="+mj-lt"/>
                <a:cs typeface="Times New Roman" panose="02020603050405020304" pitchFamily="18" charset="0"/>
              </a:rPr>
              <a:t>Paslaugų gavėjų pasitenkinimas paslaugomis vertinimas </a:t>
            </a:r>
            <a:endParaRPr lang="en-US" sz="1000" b="0" i="0" baseline="0">
              <a:solidFill>
                <a:sysClr val="windowText" lastClr="000000"/>
              </a:solidFill>
              <a:effectLst/>
              <a:latin typeface="+mj-lt"/>
              <a:cs typeface="Times New Roman" panose="02020603050405020304" pitchFamily="18" charset="0"/>
            </a:endParaRPr>
          </a:p>
          <a:p>
            <a:pPr marL="0" marR="0" lvl="0" indent="0" algn="ctr" defTabSz="914400" rtl="0" eaLnBrk="1" fontAlgn="auto" latinLnBrk="0" hangingPunct="1">
              <a:lnSpc>
                <a:spcPct val="100000"/>
              </a:lnSpc>
              <a:spcBef>
                <a:spcPts val="0"/>
              </a:spcBef>
              <a:spcAft>
                <a:spcPts val="0"/>
              </a:spcAft>
              <a:buClrTx/>
              <a:buSzTx/>
              <a:buFontTx/>
              <a:buNone/>
              <a:tabLst/>
              <a:defRPr sz="1000">
                <a:solidFill>
                  <a:sysClr val="windowText" lastClr="000000"/>
                </a:solidFill>
                <a:latin typeface="+mj-lt"/>
              </a:defRPr>
            </a:pPr>
            <a:r>
              <a:rPr lang="lt-LT" sz="1000" b="0" i="0" baseline="0">
                <a:solidFill>
                  <a:sysClr val="windowText" lastClr="000000"/>
                </a:solidFill>
                <a:effectLst/>
                <a:latin typeface="+mj-lt"/>
                <a:cs typeface="Times New Roman" panose="02020603050405020304" pitchFamily="18" charset="0"/>
              </a:rPr>
              <a:t>(2023-</a:t>
            </a:r>
            <a:r>
              <a:rPr lang="en-US" sz="1000" b="0" i="0" baseline="0">
                <a:solidFill>
                  <a:sysClr val="windowText" lastClr="000000"/>
                </a:solidFill>
                <a:effectLst/>
                <a:latin typeface="+mj-lt"/>
                <a:cs typeface="Times New Roman" panose="02020603050405020304" pitchFamily="18" charset="0"/>
              </a:rPr>
              <a:t>202</a:t>
            </a:r>
            <a:r>
              <a:rPr lang="lt-LT" sz="1000" b="0" i="0" baseline="0">
                <a:solidFill>
                  <a:sysClr val="windowText" lastClr="000000"/>
                </a:solidFill>
                <a:effectLst/>
                <a:latin typeface="+mj-lt"/>
                <a:cs typeface="Times New Roman" panose="02020603050405020304" pitchFamily="18" charset="0"/>
              </a:rPr>
              <a:t>4 m.) </a:t>
            </a:r>
            <a:endParaRPr lang="lt-LT" sz="1000">
              <a:solidFill>
                <a:sysClr val="windowText" lastClr="000000"/>
              </a:solidFill>
              <a:effectLst/>
              <a:latin typeface="+mj-lt"/>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spc="0" baseline="0">
              <a:solidFill>
                <a:sysClr val="windowText" lastClr="000000"/>
              </a:solidFill>
              <a:latin typeface="+mj-lt"/>
              <a:ea typeface="+mn-ea"/>
              <a:cs typeface="+mn-cs"/>
            </a:defRPr>
          </a:pPr>
          <a:endParaRPr lang="lt-LT"/>
        </a:p>
      </c:txPr>
    </c:title>
    <c:autoTitleDeleted val="0"/>
    <c:plotArea>
      <c:layout/>
      <c:barChart>
        <c:barDir val="col"/>
        <c:grouping val="percentStacked"/>
        <c:varyColors val="0"/>
        <c:ser>
          <c:idx val="0"/>
          <c:order val="0"/>
          <c:tx>
            <c:strRef>
              <c:f>Lapas1!$B$1</c:f>
              <c:strCache>
                <c:ptCount val="1"/>
                <c:pt idx="0">
                  <c:v>Maitinimas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Lapas1!$A$2:$A$10</c:f>
              <c:strCache>
                <c:ptCount val="9"/>
                <c:pt idx="0">
                  <c:v>2023 m.</c:v>
                </c:pt>
                <c:pt idx="1">
                  <c:v>Patinka</c:v>
                </c:pt>
                <c:pt idx="2">
                  <c:v>Nepatinka</c:v>
                </c:pt>
                <c:pt idx="3">
                  <c:v>Negaliu atsakyti</c:v>
                </c:pt>
                <c:pt idx="5">
                  <c:v>2024 m.</c:v>
                </c:pt>
                <c:pt idx="6">
                  <c:v>Patinka</c:v>
                </c:pt>
                <c:pt idx="7">
                  <c:v>Nepatinka</c:v>
                </c:pt>
                <c:pt idx="8">
                  <c:v>Negaliu atsakyti</c:v>
                </c:pt>
              </c:strCache>
            </c:strRef>
          </c:cat>
          <c:val>
            <c:numRef>
              <c:f>Lapas1!$B$2:$B$10</c:f>
              <c:numCache>
                <c:formatCode>0%</c:formatCode>
                <c:ptCount val="9"/>
                <c:pt idx="1">
                  <c:v>0.78</c:v>
                </c:pt>
                <c:pt idx="2">
                  <c:v>0.11</c:v>
                </c:pt>
                <c:pt idx="3">
                  <c:v>0.11</c:v>
                </c:pt>
                <c:pt idx="6">
                  <c:v>0.86</c:v>
                </c:pt>
                <c:pt idx="7">
                  <c:v>0.08</c:v>
                </c:pt>
                <c:pt idx="8">
                  <c:v>0.06</c:v>
                </c:pt>
              </c:numCache>
            </c:numRef>
          </c:val>
          <c:extLst>
            <c:ext xmlns:c16="http://schemas.microsoft.com/office/drawing/2014/chart" uri="{C3380CC4-5D6E-409C-BE32-E72D297353CC}">
              <c16:uniqueId val="{00000000-2C7D-4660-B342-5CEF5264AF64}"/>
            </c:ext>
          </c:extLst>
        </c:ser>
        <c:ser>
          <c:idx val="1"/>
          <c:order val="1"/>
          <c:tx>
            <c:strRef>
              <c:f>Lapas1!$C$1</c:f>
              <c:strCache>
                <c:ptCount val="1"/>
                <c:pt idx="0">
                  <c:v>Ugdymas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Lapas1!$A$2:$A$10</c:f>
              <c:strCache>
                <c:ptCount val="9"/>
                <c:pt idx="0">
                  <c:v>2023 m.</c:v>
                </c:pt>
                <c:pt idx="1">
                  <c:v>Patinka</c:v>
                </c:pt>
                <c:pt idx="2">
                  <c:v>Nepatinka</c:v>
                </c:pt>
                <c:pt idx="3">
                  <c:v>Negaliu atsakyti</c:v>
                </c:pt>
                <c:pt idx="5">
                  <c:v>2024 m.</c:v>
                </c:pt>
                <c:pt idx="6">
                  <c:v>Patinka</c:v>
                </c:pt>
                <c:pt idx="7">
                  <c:v>Nepatinka</c:v>
                </c:pt>
                <c:pt idx="8">
                  <c:v>Negaliu atsakyti</c:v>
                </c:pt>
              </c:strCache>
            </c:strRef>
          </c:cat>
          <c:val>
            <c:numRef>
              <c:f>Lapas1!$C$2:$C$10</c:f>
              <c:numCache>
                <c:formatCode>0%</c:formatCode>
                <c:ptCount val="9"/>
                <c:pt idx="1">
                  <c:v>0.67</c:v>
                </c:pt>
                <c:pt idx="2">
                  <c:v>0.13</c:v>
                </c:pt>
                <c:pt idx="3">
                  <c:v>0.2</c:v>
                </c:pt>
                <c:pt idx="6">
                  <c:v>0.84</c:v>
                </c:pt>
                <c:pt idx="7">
                  <c:v>0.06</c:v>
                </c:pt>
                <c:pt idx="8">
                  <c:v>0.1</c:v>
                </c:pt>
              </c:numCache>
            </c:numRef>
          </c:val>
          <c:extLst>
            <c:ext xmlns:c16="http://schemas.microsoft.com/office/drawing/2014/chart" uri="{C3380CC4-5D6E-409C-BE32-E72D297353CC}">
              <c16:uniqueId val="{00000001-2C7D-4660-B342-5CEF5264AF64}"/>
            </c:ext>
          </c:extLst>
        </c:ser>
        <c:ser>
          <c:idx val="2"/>
          <c:order val="2"/>
          <c:tx>
            <c:strRef>
              <c:f>Lapas1!$D$1</c:f>
              <c:strCache>
                <c:ptCount val="1"/>
                <c:pt idx="0">
                  <c:v>Informavimas</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Lapas1!$A$2:$A$10</c:f>
              <c:strCache>
                <c:ptCount val="9"/>
                <c:pt idx="0">
                  <c:v>2023 m.</c:v>
                </c:pt>
                <c:pt idx="1">
                  <c:v>Patinka</c:v>
                </c:pt>
                <c:pt idx="2">
                  <c:v>Nepatinka</c:v>
                </c:pt>
                <c:pt idx="3">
                  <c:v>Negaliu atsakyti</c:v>
                </c:pt>
                <c:pt idx="5">
                  <c:v>2024 m.</c:v>
                </c:pt>
                <c:pt idx="6">
                  <c:v>Patinka</c:v>
                </c:pt>
                <c:pt idx="7">
                  <c:v>Nepatinka</c:v>
                </c:pt>
                <c:pt idx="8">
                  <c:v>Negaliu atsakyti</c:v>
                </c:pt>
              </c:strCache>
            </c:strRef>
          </c:cat>
          <c:val>
            <c:numRef>
              <c:f>Lapas1!$D$2:$D$10</c:f>
              <c:numCache>
                <c:formatCode>0%</c:formatCode>
                <c:ptCount val="9"/>
                <c:pt idx="1">
                  <c:v>0.77</c:v>
                </c:pt>
                <c:pt idx="2">
                  <c:v>0.02</c:v>
                </c:pt>
                <c:pt idx="3">
                  <c:v>0.21</c:v>
                </c:pt>
                <c:pt idx="6">
                  <c:v>0.79</c:v>
                </c:pt>
                <c:pt idx="7">
                  <c:v>0.09</c:v>
                </c:pt>
                <c:pt idx="8">
                  <c:v>0.12</c:v>
                </c:pt>
              </c:numCache>
            </c:numRef>
          </c:val>
          <c:extLst>
            <c:ext xmlns:c16="http://schemas.microsoft.com/office/drawing/2014/chart" uri="{C3380CC4-5D6E-409C-BE32-E72D297353CC}">
              <c16:uniqueId val="{00000002-2C7D-4660-B342-5CEF5264AF64}"/>
            </c:ext>
          </c:extLst>
        </c:ser>
        <c:ser>
          <c:idx val="3"/>
          <c:order val="3"/>
          <c:tx>
            <c:strRef>
              <c:f>Lapas1!$E$1</c:f>
              <c:strCache>
                <c:ptCount val="1"/>
                <c:pt idx="0">
                  <c:v>Savarankiškumo ugdymas</c:v>
                </c:pt>
              </c:strCache>
            </c:strRef>
          </c:tx>
          <c:spPr>
            <a:solidFill>
              <a:schemeClr val="accent5">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Lapas1!$A$2:$A$10</c:f>
              <c:strCache>
                <c:ptCount val="9"/>
                <c:pt idx="0">
                  <c:v>2023 m.</c:v>
                </c:pt>
                <c:pt idx="1">
                  <c:v>Patinka</c:v>
                </c:pt>
                <c:pt idx="2">
                  <c:v>Nepatinka</c:v>
                </c:pt>
                <c:pt idx="3">
                  <c:v>Negaliu atsakyti</c:v>
                </c:pt>
                <c:pt idx="5">
                  <c:v>2024 m.</c:v>
                </c:pt>
                <c:pt idx="6">
                  <c:v>Patinka</c:v>
                </c:pt>
                <c:pt idx="7">
                  <c:v>Nepatinka</c:v>
                </c:pt>
                <c:pt idx="8">
                  <c:v>Negaliu atsakyti</c:v>
                </c:pt>
              </c:strCache>
            </c:strRef>
          </c:cat>
          <c:val>
            <c:numRef>
              <c:f>Lapas1!$E$2:$E$10</c:f>
              <c:numCache>
                <c:formatCode>0%</c:formatCode>
                <c:ptCount val="9"/>
                <c:pt idx="1">
                  <c:v>0.76</c:v>
                </c:pt>
                <c:pt idx="2">
                  <c:v>0.09</c:v>
                </c:pt>
                <c:pt idx="3">
                  <c:v>0.15</c:v>
                </c:pt>
                <c:pt idx="6">
                  <c:v>0.83</c:v>
                </c:pt>
                <c:pt idx="7">
                  <c:v>0.1</c:v>
                </c:pt>
                <c:pt idx="8">
                  <c:v>7.0000000000000007E-2</c:v>
                </c:pt>
              </c:numCache>
            </c:numRef>
          </c:val>
          <c:extLst>
            <c:ext xmlns:c16="http://schemas.microsoft.com/office/drawing/2014/chart" uri="{C3380CC4-5D6E-409C-BE32-E72D297353CC}">
              <c16:uniqueId val="{00000003-2C7D-4660-B342-5CEF5264AF64}"/>
            </c:ext>
          </c:extLst>
        </c:ser>
        <c:ser>
          <c:idx val="4"/>
          <c:order val="4"/>
          <c:tx>
            <c:strRef>
              <c:f>Lapas1!$F$1</c:f>
              <c:strCache>
                <c:ptCount val="1"/>
                <c:pt idx="0">
                  <c:v>Kasdieninio gyvenimo įgūdžių ugdymas</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Lapas1!$A$2:$A$10</c:f>
              <c:strCache>
                <c:ptCount val="9"/>
                <c:pt idx="0">
                  <c:v>2023 m.</c:v>
                </c:pt>
                <c:pt idx="1">
                  <c:v>Patinka</c:v>
                </c:pt>
                <c:pt idx="2">
                  <c:v>Nepatinka</c:v>
                </c:pt>
                <c:pt idx="3">
                  <c:v>Negaliu atsakyti</c:v>
                </c:pt>
                <c:pt idx="5">
                  <c:v>2024 m.</c:v>
                </c:pt>
                <c:pt idx="6">
                  <c:v>Patinka</c:v>
                </c:pt>
                <c:pt idx="7">
                  <c:v>Nepatinka</c:v>
                </c:pt>
                <c:pt idx="8">
                  <c:v>Negaliu atsakyti</c:v>
                </c:pt>
              </c:strCache>
            </c:strRef>
          </c:cat>
          <c:val>
            <c:numRef>
              <c:f>Lapas1!$F$2:$F$10</c:f>
              <c:numCache>
                <c:formatCode>0%</c:formatCode>
                <c:ptCount val="9"/>
                <c:pt idx="1">
                  <c:v>0.73</c:v>
                </c:pt>
                <c:pt idx="2">
                  <c:v>0.11</c:v>
                </c:pt>
                <c:pt idx="3">
                  <c:v>0.16</c:v>
                </c:pt>
                <c:pt idx="6">
                  <c:v>0.7</c:v>
                </c:pt>
                <c:pt idx="7">
                  <c:v>0.18</c:v>
                </c:pt>
                <c:pt idx="8">
                  <c:v>0.12</c:v>
                </c:pt>
              </c:numCache>
            </c:numRef>
          </c:val>
          <c:extLst>
            <c:ext xmlns:c16="http://schemas.microsoft.com/office/drawing/2014/chart" uri="{C3380CC4-5D6E-409C-BE32-E72D297353CC}">
              <c16:uniqueId val="{00000004-2C7D-4660-B342-5CEF5264AF64}"/>
            </c:ext>
          </c:extLst>
        </c:ser>
        <c:ser>
          <c:idx val="5"/>
          <c:order val="5"/>
          <c:tx>
            <c:strRef>
              <c:f>Lapas1!$G$1</c:f>
              <c:strCache>
                <c:ptCount val="1"/>
                <c:pt idx="0">
                  <c:v>Socialinių įgūdžių ugdymas</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Lapas1!$A$2:$A$10</c:f>
              <c:strCache>
                <c:ptCount val="9"/>
                <c:pt idx="0">
                  <c:v>2023 m.</c:v>
                </c:pt>
                <c:pt idx="1">
                  <c:v>Patinka</c:v>
                </c:pt>
                <c:pt idx="2">
                  <c:v>Nepatinka</c:v>
                </c:pt>
                <c:pt idx="3">
                  <c:v>Negaliu atsakyti</c:v>
                </c:pt>
                <c:pt idx="5">
                  <c:v>2024 m.</c:v>
                </c:pt>
                <c:pt idx="6">
                  <c:v>Patinka</c:v>
                </c:pt>
                <c:pt idx="7">
                  <c:v>Nepatinka</c:v>
                </c:pt>
                <c:pt idx="8">
                  <c:v>Negaliu atsakyti</c:v>
                </c:pt>
              </c:strCache>
            </c:strRef>
          </c:cat>
          <c:val>
            <c:numRef>
              <c:f>Lapas1!$G$2:$G$10</c:f>
              <c:numCache>
                <c:formatCode>0%</c:formatCode>
                <c:ptCount val="9"/>
                <c:pt idx="1">
                  <c:v>0.75</c:v>
                </c:pt>
                <c:pt idx="2">
                  <c:v>0.09</c:v>
                </c:pt>
                <c:pt idx="3">
                  <c:v>0.16</c:v>
                </c:pt>
                <c:pt idx="6">
                  <c:v>0.73</c:v>
                </c:pt>
                <c:pt idx="7">
                  <c:v>0.17</c:v>
                </c:pt>
                <c:pt idx="8">
                  <c:v>0.1</c:v>
                </c:pt>
              </c:numCache>
            </c:numRef>
          </c:val>
          <c:extLst>
            <c:ext xmlns:c16="http://schemas.microsoft.com/office/drawing/2014/chart" uri="{C3380CC4-5D6E-409C-BE32-E72D297353CC}">
              <c16:uniqueId val="{00000005-2C7D-4660-B342-5CEF5264AF64}"/>
            </c:ext>
          </c:extLst>
        </c:ser>
        <c:dLbls>
          <c:showLegendKey val="0"/>
          <c:showVal val="1"/>
          <c:showCatName val="0"/>
          <c:showSerName val="0"/>
          <c:showPercent val="0"/>
          <c:showBubbleSize val="0"/>
        </c:dLbls>
        <c:gapWidth val="219"/>
        <c:overlap val="100"/>
        <c:axId val="1413123727"/>
        <c:axId val="1207321295"/>
      </c:barChart>
      <c:catAx>
        <c:axId val="14131237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900" b="0" i="0" u="none" strike="noStrike" kern="1200" baseline="0">
                <a:solidFill>
                  <a:sysClr val="windowText" lastClr="000000"/>
                </a:solidFill>
                <a:latin typeface="+mj-lt"/>
                <a:ea typeface="+mn-ea"/>
                <a:cs typeface="Times New Roman" panose="02020603050405020304" pitchFamily="18" charset="0"/>
              </a:defRPr>
            </a:pPr>
            <a:endParaRPr lang="lt-LT"/>
          </a:p>
        </c:txPr>
        <c:crossAx val="1207321295"/>
        <c:crosses val="autoZero"/>
        <c:auto val="1"/>
        <c:lblAlgn val="ctr"/>
        <c:lblOffset val="100"/>
        <c:noMultiLvlLbl val="0"/>
      </c:catAx>
      <c:valAx>
        <c:axId val="1207321295"/>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j-lt"/>
                <a:ea typeface="+mn-ea"/>
                <a:cs typeface="Times New Roman" panose="02020603050405020304" pitchFamily="18" charset="0"/>
              </a:defRPr>
            </a:pPr>
            <a:endParaRPr lang="lt-LT"/>
          </a:p>
        </c:txPr>
        <c:crossAx val="141312372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j-lt"/>
              <a:ea typeface="+mn-ea"/>
              <a:cs typeface="Times New Roman" panose="02020603050405020304" pitchFamily="18" charset="0"/>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0" i="0" u="none" strike="noStrike" kern="1200" spc="0" baseline="0">
                <a:solidFill>
                  <a:sysClr val="windowText" lastClr="000000"/>
                </a:solidFill>
                <a:latin typeface="+mj-lt"/>
                <a:ea typeface="+mn-ea"/>
                <a:cs typeface="Times New Roman" panose="02020603050405020304" pitchFamily="18" charset="0"/>
              </a:defRPr>
            </a:pPr>
            <a:r>
              <a:rPr lang="lt-LT" sz="1000" b="0">
                <a:solidFill>
                  <a:sysClr val="windowText" lastClr="000000"/>
                </a:solidFill>
                <a:latin typeface="+mj-lt"/>
                <a:cs typeface="Times New Roman" panose="02020603050405020304" pitchFamily="18" charset="0"/>
              </a:rPr>
              <a:t>                                                    </a:t>
            </a:r>
          </a:p>
          <a:p>
            <a:pPr>
              <a:defRPr sz="1000">
                <a:solidFill>
                  <a:sysClr val="windowText" lastClr="000000"/>
                </a:solidFill>
                <a:latin typeface="+mj-lt"/>
                <a:cs typeface="Times New Roman" panose="02020603050405020304" pitchFamily="18" charset="0"/>
              </a:defRPr>
            </a:pPr>
            <a:r>
              <a:rPr lang="lt-LT" sz="1000" b="0">
                <a:solidFill>
                  <a:sysClr val="windowText" lastClr="000000"/>
                </a:solidFill>
                <a:latin typeface="+mj-lt"/>
                <a:cs typeface="Times New Roman" panose="02020603050405020304" pitchFamily="18" charset="0"/>
              </a:rPr>
              <a:t>                                     Paslaugų</a:t>
            </a:r>
            <a:r>
              <a:rPr lang="lt-LT" sz="1000" b="0" baseline="0">
                <a:solidFill>
                  <a:sysClr val="windowText" lastClr="000000"/>
                </a:solidFill>
                <a:latin typeface="+mj-lt"/>
                <a:cs typeface="Times New Roman" panose="02020603050405020304" pitchFamily="18" charset="0"/>
              </a:rPr>
              <a:t> gavėjų pasitenkinimo paslaugomis lyginamosios analizės vertinimas 2023-2024 m. </a:t>
            </a:r>
            <a:endParaRPr lang="en-US" sz="1000" b="0">
              <a:solidFill>
                <a:sysClr val="windowText" lastClr="000000"/>
              </a:solidFill>
              <a:latin typeface="+mj-lt"/>
              <a:cs typeface="Times New Roman" panose="02020603050405020304" pitchFamily="18" charset="0"/>
            </a:endParaRPr>
          </a:p>
        </c:rich>
      </c:tx>
      <c:layout>
        <c:manualLayout>
          <c:xMode val="edge"/>
          <c:yMode val="edge"/>
          <c:x val="7.4246467694532192E-2"/>
          <c:y val="0"/>
        </c:manualLayout>
      </c:layout>
      <c:overlay val="0"/>
      <c:spPr>
        <a:noFill/>
        <a:ln>
          <a:noFill/>
        </a:ln>
        <a:effectLst/>
      </c:spPr>
      <c:txPr>
        <a:bodyPr rot="0" spcFirstLastPara="1" vertOverflow="ellipsis" vert="horz" wrap="square" anchor="ctr" anchorCtr="1"/>
        <a:lstStyle/>
        <a:p>
          <a:pPr>
            <a:defRPr sz="1000" b="0" i="0" u="none" strike="noStrike" kern="1200" spc="0" baseline="0">
              <a:solidFill>
                <a:sysClr val="windowText" lastClr="000000"/>
              </a:solidFill>
              <a:latin typeface="+mj-lt"/>
              <a:ea typeface="+mn-ea"/>
              <a:cs typeface="Times New Roman" panose="02020603050405020304" pitchFamily="18" charset="0"/>
            </a:defRPr>
          </a:pPr>
          <a:endParaRPr lang="lt-LT"/>
        </a:p>
      </c:txPr>
    </c:title>
    <c:autoTitleDeleted val="0"/>
    <c:plotArea>
      <c:layout/>
      <c:barChart>
        <c:barDir val="col"/>
        <c:grouping val="percentStacked"/>
        <c:varyColors val="0"/>
        <c:ser>
          <c:idx val="0"/>
          <c:order val="0"/>
          <c:tx>
            <c:strRef>
              <c:f>Sheet1!$B$1</c:f>
              <c:strCache>
                <c:ptCount val="1"/>
                <c:pt idx="0">
                  <c:v>Patinka (2023 m.)</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j-lt"/>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Maitinimas</c:v>
                </c:pt>
                <c:pt idx="1">
                  <c:v>Ugdymas</c:v>
                </c:pt>
                <c:pt idx="2">
                  <c:v>Informavimas</c:v>
                </c:pt>
                <c:pt idx="3">
                  <c:v>Savarankiškumo ugdymas</c:v>
                </c:pt>
                <c:pt idx="4">
                  <c:v>Kasdieninio gyvenimo įgūdžių ugdymas</c:v>
                </c:pt>
                <c:pt idx="5">
                  <c:v>Socialinių įgūdžių ugdymas</c:v>
                </c:pt>
              </c:strCache>
            </c:strRef>
          </c:cat>
          <c:val>
            <c:numRef>
              <c:f>Sheet1!$B$2:$B$7</c:f>
              <c:numCache>
                <c:formatCode>0%</c:formatCode>
                <c:ptCount val="6"/>
                <c:pt idx="0">
                  <c:v>0.78</c:v>
                </c:pt>
                <c:pt idx="1">
                  <c:v>0.67</c:v>
                </c:pt>
                <c:pt idx="2">
                  <c:v>0.77</c:v>
                </c:pt>
                <c:pt idx="3">
                  <c:v>0.76</c:v>
                </c:pt>
                <c:pt idx="4">
                  <c:v>0.73</c:v>
                </c:pt>
                <c:pt idx="5">
                  <c:v>0.75</c:v>
                </c:pt>
              </c:numCache>
            </c:numRef>
          </c:val>
          <c:extLst>
            <c:ext xmlns:c16="http://schemas.microsoft.com/office/drawing/2014/chart" uri="{C3380CC4-5D6E-409C-BE32-E72D297353CC}">
              <c16:uniqueId val="{00000000-7D0A-48D5-AE0E-49E45988ADA5}"/>
            </c:ext>
          </c:extLst>
        </c:ser>
        <c:ser>
          <c:idx val="1"/>
          <c:order val="1"/>
          <c:tx>
            <c:strRef>
              <c:f>Sheet1!$C$1</c:f>
              <c:strCache>
                <c:ptCount val="1"/>
                <c:pt idx="0">
                  <c:v>Patinka (2024 m.)</c:v>
                </c:pt>
              </c:strCache>
            </c:strRef>
          </c:tx>
          <c:spPr>
            <a:solidFill>
              <a:schemeClr val="accent2"/>
            </a:solidFill>
            <a:ln>
              <a:noFill/>
            </a:ln>
            <a:effectLst/>
          </c:spPr>
          <c:invertIfNegative val="0"/>
          <c:dLbls>
            <c:dLbl>
              <c:idx val="0"/>
              <c:layout>
                <c:manualLayout>
                  <c:x val="0"/>
                  <c:y val="5.847953216374215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D0A-48D5-AE0E-49E45988ADA5}"/>
                </c:ext>
              </c:extLst>
            </c:dLbl>
            <c:dLbl>
              <c:idx val="1"/>
              <c:layout>
                <c:manualLayout>
                  <c:x val="1.2626759723216069E-3"/>
                  <c:y val="-6.2669797854215589E-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D0A-48D5-AE0E-49E45988ADA5}"/>
                </c:ext>
              </c:extLst>
            </c:dLbl>
            <c:dLbl>
              <c:idx val="2"/>
              <c:layout>
                <c:manualLayout>
                  <c:x val="2.20957110474827E-3"/>
                  <c:y val="5.8477229819956719E-3"/>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showLegendKey val="0"/>
              <c:showVal val="1"/>
              <c:showCatName val="0"/>
              <c:showSerName val="0"/>
              <c:showPercent val="0"/>
              <c:showBubbleSize val="0"/>
              <c:extLst>
                <c:ext xmlns:c15="http://schemas.microsoft.com/office/drawing/2012/chart" uri="{CE6537A1-D6FC-4f65-9D91-7224C49458BB}">
                  <c15:layout>
                    <c:manualLayout>
                      <c:w val="8.1851851851851856E-2"/>
                      <c:h val="6.7400949881264827E-2"/>
                    </c:manualLayout>
                  </c15:layout>
                </c:ext>
                <c:ext xmlns:c16="http://schemas.microsoft.com/office/drawing/2014/chart" uri="{C3380CC4-5D6E-409C-BE32-E72D297353CC}">
                  <c16:uniqueId val="{00000003-7D0A-48D5-AE0E-49E45988ADA5}"/>
                </c:ext>
              </c:extLst>
            </c:dLbl>
            <c:dLbl>
              <c:idx val="3"/>
              <c:layout>
                <c:manualLayout>
                  <c:x val="2.1042114053925078E-4"/>
                  <c:y val="2.33918128654970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D0A-48D5-AE0E-49E45988ADA5}"/>
                </c:ext>
              </c:extLst>
            </c:dLbl>
            <c:dLbl>
              <c:idx val="4"/>
              <c:layout>
                <c:manualLayout>
                  <c:x val="-1.3888728445112719E-16"/>
                  <c:y val="1.754385964912280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D0A-48D5-AE0E-49E45988ADA5}"/>
                </c:ext>
              </c:extLst>
            </c:dLbl>
            <c:dLbl>
              <c:idx val="5"/>
              <c:layout>
                <c:manualLayout>
                  <c:x val="3.1566153662610356E-3"/>
                  <c:y val="1.357553989961775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D0A-48D5-AE0E-49E45988ADA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6"/>
                <c:pt idx="0">
                  <c:v>Maitinimas</c:v>
                </c:pt>
                <c:pt idx="1">
                  <c:v>Ugdymas</c:v>
                </c:pt>
                <c:pt idx="2">
                  <c:v>Informavimas</c:v>
                </c:pt>
                <c:pt idx="3">
                  <c:v>Savarankiškumo ugdymas</c:v>
                </c:pt>
                <c:pt idx="4">
                  <c:v>Kasdieninio gyvenimo įgūdžių ugdymas</c:v>
                </c:pt>
                <c:pt idx="5">
                  <c:v>Socialinių įgūdžių ugdymas</c:v>
                </c:pt>
              </c:strCache>
            </c:strRef>
          </c:cat>
          <c:val>
            <c:numRef>
              <c:f>Sheet1!$C$2:$C$7</c:f>
              <c:numCache>
                <c:formatCode>0%</c:formatCode>
                <c:ptCount val="6"/>
                <c:pt idx="0">
                  <c:v>0.86</c:v>
                </c:pt>
                <c:pt idx="1">
                  <c:v>0.84</c:v>
                </c:pt>
                <c:pt idx="2">
                  <c:v>0.79</c:v>
                </c:pt>
                <c:pt idx="3">
                  <c:v>0.83</c:v>
                </c:pt>
                <c:pt idx="4">
                  <c:v>0.7</c:v>
                </c:pt>
                <c:pt idx="5">
                  <c:v>0.73</c:v>
                </c:pt>
              </c:numCache>
            </c:numRef>
          </c:val>
          <c:extLst>
            <c:ext xmlns:c16="http://schemas.microsoft.com/office/drawing/2014/chart" uri="{C3380CC4-5D6E-409C-BE32-E72D297353CC}">
              <c16:uniqueId val="{00000007-7D0A-48D5-AE0E-49E45988ADA5}"/>
            </c:ext>
          </c:extLst>
        </c:ser>
        <c:dLbls>
          <c:showLegendKey val="0"/>
          <c:showVal val="1"/>
          <c:showCatName val="0"/>
          <c:showSerName val="0"/>
          <c:showPercent val="0"/>
          <c:showBubbleSize val="0"/>
        </c:dLbls>
        <c:gapWidth val="219"/>
        <c:overlap val="100"/>
        <c:axId val="1381344239"/>
        <c:axId val="1385869183"/>
      </c:barChart>
      <c:catAx>
        <c:axId val="13813442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j-lt"/>
                <a:ea typeface="+mn-ea"/>
                <a:cs typeface="Times New Roman" panose="02020603050405020304" pitchFamily="18" charset="0"/>
              </a:defRPr>
            </a:pPr>
            <a:endParaRPr lang="lt-LT"/>
          </a:p>
        </c:txPr>
        <c:crossAx val="1385869183"/>
        <c:crosses val="autoZero"/>
        <c:auto val="1"/>
        <c:lblAlgn val="ctr"/>
        <c:lblOffset val="100"/>
        <c:noMultiLvlLbl val="0"/>
      </c:catAx>
      <c:valAx>
        <c:axId val="138586918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j-lt"/>
                <a:ea typeface="+mn-ea"/>
                <a:cs typeface="Times New Roman" panose="02020603050405020304" pitchFamily="18" charset="0"/>
              </a:defRPr>
            </a:pPr>
            <a:endParaRPr lang="lt-LT"/>
          </a:p>
        </c:txPr>
        <c:crossAx val="138134423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j-lt"/>
              <a:ea typeface="+mn-ea"/>
              <a:cs typeface="Times New Roman" panose="02020603050405020304" pitchFamily="18" charset="0"/>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lt-LT"/>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1" i="0" u="none" strike="noStrike" kern="1200" cap="none" spc="50" normalizeH="0" baseline="0">
                <a:solidFill>
                  <a:sysClr val="windowText" lastClr="000000"/>
                </a:solidFill>
                <a:latin typeface="+mj-lt"/>
                <a:ea typeface="+mj-ea"/>
                <a:cs typeface="Times New Roman" panose="02020603050405020304" pitchFamily="18" charset="0"/>
              </a:defRPr>
            </a:pPr>
            <a:r>
              <a:rPr lang="lt-LT" sz="1000" b="1">
                <a:solidFill>
                  <a:sysClr val="windowText" lastClr="000000"/>
                </a:solidFill>
                <a:latin typeface="+mj-lt"/>
                <a:cs typeface="Times New Roman" panose="02020603050405020304" pitchFamily="18" charset="0"/>
              </a:rPr>
              <a:t>Veiklos</a:t>
            </a:r>
            <a:r>
              <a:rPr lang="lt-LT" sz="1000" b="1" baseline="0">
                <a:solidFill>
                  <a:sysClr val="windowText" lastClr="000000"/>
                </a:solidFill>
                <a:latin typeface="+mj-lt"/>
                <a:cs typeface="Times New Roman" panose="02020603050405020304" pitchFamily="18" charset="0"/>
              </a:rPr>
              <a:t> rezultatų suprantamumas paslaugų gavėjų atstovams ir kitoms suinteresuotoms šalims 2024 m.</a:t>
            </a:r>
            <a:endParaRPr lang="lt-LT" sz="1000" b="1">
              <a:solidFill>
                <a:sysClr val="windowText" lastClr="000000"/>
              </a:solidFill>
              <a:latin typeface="+mj-lt"/>
              <a:cs typeface="Times New Roman" panose="02020603050405020304" pitchFamily="18" charset="0"/>
            </a:endParaRPr>
          </a:p>
        </c:rich>
      </c:tx>
      <c:layout>
        <c:manualLayout>
          <c:xMode val="edge"/>
          <c:yMode val="edge"/>
          <c:x val="0.21083228774571308"/>
          <c:y val="1.1104943050949801E-2"/>
        </c:manualLayout>
      </c:layout>
      <c:overlay val="0"/>
      <c:spPr>
        <a:noFill/>
        <a:ln>
          <a:noFill/>
        </a:ln>
        <a:effectLst/>
      </c:spPr>
      <c:txPr>
        <a:bodyPr rot="0" spcFirstLastPara="1" vertOverflow="ellipsis" vert="horz" wrap="square" anchor="ctr" anchorCtr="1"/>
        <a:lstStyle/>
        <a:p>
          <a:pPr>
            <a:defRPr sz="1000" b="1" i="0" u="none" strike="noStrike" kern="1200" cap="none" spc="50" normalizeH="0" baseline="0">
              <a:solidFill>
                <a:sysClr val="windowText" lastClr="000000"/>
              </a:solidFill>
              <a:latin typeface="+mj-lt"/>
              <a:ea typeface="+mj-ea"/>
              <a:cs typeface="Times New Roman" panose="02020603050405020304" pitchFamily="18" charset="0"/>
            </a:defRPr>
          </a:pPr>
          <a:endParaRPr lang="lt-LT"/>
        </a:p>
      </c:txPr>
    </c:title>
    <c:autoTitleDeleted val="0"/>
    <c:plotArea>
      <c:layout/>
      <c:barChart>
        <c:barDir val="col"/>
        <c:grouping val="clustered"/>
        <c:varyColors val="0"/>
        <c:ser>
          <c:idx val="0"/>
          <c:order val="0"/>
          <c:tx>
            <c:strRef>
              <c:f>Lapas1!$B$1</c:f>
              <c:strCache>
                <c:ptCount val="1"/>
                <c:pt idx="0">
                  <c:v>Paslaugų gavėjų atstovai</c:v>
                </c:pt>
              </c:strCache>
            </c:strRef>
          </c:tx>
          <c:spPr>
            <a:solidFill>
              <a:schemeClr val="accent1">
                <a:alpha val="70000"/>
              </a:schemeClr>
            </a:solidFill>
            <a:ln>
              <a:noFill/>
            </a:ln>
            <a:effectLst/>
          </c:spPr>
          <c:invertIfNegative val="0"/>
          <c:dLbls>
            <c:dLbl>
              <c:idx val="4"/>
              <c:delete val="1"/>
              <c:extLst>
                <c:ext xmlns:c15="http://schemas.microsoft.com/office/drawing/2012/chart" uri="{CE6537A1-D6FC-4f65-9D91-7224C49458BB}"/>
                <c:ext xmlns:c16="http://schemas.microsoft.com/office/drawing/2014/chart" uri="{C3380CC4-5D6E-409C-BE32-E72D297353CC}">
                  <c16:uniqueId val="{00000000-1A47-483C-B8FE-5329B132CFAB}"/>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j-lt"/>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Lapas1!$A$2:$A$5</c:f>
              <c:strCache>
                <c:ptCount val="4"/>
                <c:pt idx="0">
                  <c:v>Labai gerai</c:v>
                </c:pt>
                <c:pt idx="1">
                  <c:v>Gerai</c:v>
                </c:pt>
                <c:pt idx="2">
                  <c:v>Patenkinamai</c:v>
                </c:pt>
                <c:pt idx="3">
                  <c:v>Blogai</c:v>
                </c:pt>
              </c:strCache>
            </c:strRef>
          </c:cat>
          <c:val>
            <c:numRef>
              <c:f>Lapas1!$B$2:$B$5</c:f>
              <c:numCache>
                <c:formatCode>General</c:formatCode>
                <c:ptCount val="4"/>
                <c:pt idx="0">
                  <c:v>61</c:v>
                </c:pt>
                <c:pt idx="1">
                  <c:v>35</c:v>
                </c:pt>
                <c:pt idx="2">
                  <c:v>4</c:v>
                </c:pt>
                <c:pt idx="3">
                  <c:v>0</c:v>
                </c:pt>
              </c:numCache>
            </c:numRef>
          </c:val>
          <c:extLst>
            <c:ext xmlns:c16="http://schemas.microsoft.com/office/drawing/2014/chart" uri="{C3380CC4-5D6E-409C-BE32-E72D297353CC}">
              <c16:uniqueId val="{00000001-1A47-483C-B8FE-5329B132CFAB}"/>
            </c:ext>
          </c:extLst>
        </c:ser>
        <c:ser>
          <c:idx val="1"/>
          <c:order val="1"/>
          <c:tx>
            <c:strRef>
              <c:f>Lapas1!$C$1</c:f>
              <c:strCache>
                <c:ptCount val="1"/>
                <c:pt idx="0">
                  <c:v>Įstaigos partneriai</c:v>
                </c:pt>
              </c:strCache>
            </c:strRef>
          </c:tx>
          <c:spPr>
            <a:solidFill>
              <a:schemeClr val="accent2">
                <a:alpha val="70000"/>
              </a:schemeClr>
            </a:solidFill>
            <a:ln>
              <a:noFill/>
            </a:ln>
            <a:effectLst/>
          </c:spPr>
          <c:invertIfNegative val="0"/>
          <c:dLbls>
            <c:dLbl>
              <c:idx val="4"/>
              <c:delete val="1"/>
              <c:extLst>
                <c:ext xmlns:c15="http://schemas.microsoft.com/office/drawing/2012/chart" uri="{CE6537A1-D6FC-4f65-9D91-7224C49458BB}"/>
                <c:ext xmlns:c16="http://schemas.microsoft.com/office/drawing/2014/chart" uri="{C3380CC4-5D6E-409C-BE32-E72D297353CC}">
                  <c16:uniqueId val="{00000002-1A47-483C-B8FE-5329B132CFAB}"/>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j-lt"/>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Lapas1!$A$2:$A$5</c:f>
              <c:strCache>
                <c:ptCount val="4"/>
                <c:pt idx="0">
                  <c:v>Labai gerai</c:v>
                </c:pt>
                <c:pt idx="1">
                  <c:v>Gerai</c:v>
                </c:pt>
                <c:pt idx="2">
                  <c:v>Patenkinamai</c:v>
                </c:pt>
                <c:pt idx="3">
                  <c:v>Blogai</c:v>
                </c:pt>
              </c:strCache>
            </c:strRef>
          </c:cat>
          <c:val>
            <c:numRef>
              <c:f>Lapas1!$C$2:$C$5</c:f>
              <c:numCache>
                <c:formatCode>General</c:formatCode>
                <c:ptCount val="4"/>
                <c:pt idx="0">
                  <c:v>100</c:v>
                </c:pt>
                <c:pt idx="1">
                  <c:v>0</c:v>
                </c:pt>
                <c:pt idx="2">
                  <c:v>0</c:v>
                </c:pt>
                <c:pt idx="3">
                  <c:v>0</c:v>
                </c:pt>
              </c:numCache>
            </c:numRef>
          </c:val>
          <c:extLst>
            <c:ext xmlns:c16="http://schemas.microsoft.com/office/drawing/2014/chart" uri="{C3380CC4-5D6E-409C-BE32-E72D297353CC}">
              <c16:uniqueId val="{00000003-1A47-483C-B8FE-5329B132CFAB}"/>
            </c:ext>
          </c:extLst>
        </c:ser>
        <c:ser>
          <c:idx val="2"/>
          <c:order val="2"/>
          <c:tx>
            <c:strRef>
              <c:f>Lapas1!$D$1</c:f>
              <c:strCache>
                <c:ptCount val="1"/>
                <c:pt idx="0">
                  <c:v>Įstaigos steigėjas</c:v>
                </c:pt>
              </c:strCache>
            </c:strRef>
          </c:tx>
          <c:spPr>
            <a:solidFill>
              <a:schemeClr val="accent3">
                <a:alpha val="70000"/>
              </a:schemeClr>
            </a:solidFill>
            <a:ln>
              <a:noFill/>
            </a:ln>
            <a:effectLst/>
          </c:spPr>
          <c:invertIfNegative val="0"/>
          <c:dLbls>
            <c:dLbl>
              <c:idx val="4"/>
              <c:delete val="1"/>
              <c:extLst>
                <c:ext xmlns:c15="http://schemas.microsoft.com/office/drawing/2012/chart" uri="{CE6537A1-D6FC-4f65-9D91-7224C49458BB}"/>
                <c:ext xmlns:c16="http://schemas.microsoft.com/office/drawing/2014/chart" uri="{C3380CC4-5D6E-409C-BE32-E72D297353CC}">
                  <c16:uniqueId val="{00000004-1A47-483C-B8FE-5329B132CFAB}"/>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j-lt"/>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Lapas1!$A$2:$A$5</c:f>
              <c:strCache>
                <c:ptCount val="4"/>
                <c:pt idx="0">
                  <c:v>Labai gerai</c:v>
                </c:pt>
                <c:pt idx="1">
                  <c:v>Gerai</c:v>
                </c:pt>
                <c:pt idx="2">
                  <c:v>Patenkinamai</c:v>
                </c:pt>
                <c:pt idx="3">
                  <c:v>Blogai</c:v>
                </c:pt>
              </c:strCache>
            </c:strRef>
          </c:cat>
          <c:val>
            <c:numRef>
              <c:f>Lapas1!$D$2:$D$5</c:f>
              <c:numCache>
                <c:formatCode>General</c:formatCode>
                <c:ptCount val="4"/>
                <c:pt idx="0">
                  <c:v>100</c:v>
                </c:pt>
                <c:pt idx="1">
                  <c:v>0</c:v>
                </c:pt>
                <c:pt idx="2">
                  <c:v>0</c:v>
                </c:pt>
                <c:pt idx="3">
                  <c:v>0</c:v>
                </c:pt>
              </c:numCache>
            </c:numRef>
          </c:val>
          <c:extLst>
            <c:ext xmlns:c16="http://schemas.microsoft.com/office/drawing/2014/chart" uri="{C3380CC4-5D6E-409C-BE32-E72D297353CC}">
              <c16:uniqueId val="{00000005-1A47-483C-B8FE-5329B132CFAB}"/>
            </c:ext>
          </c:extLst>
        </c:ser>
        <c:dLbls>
          <c:dLblPos val="outEnd"/>
          <c:showLegendKey val="0"/>
          <c:showVal val="1"/>
          <c:showCatName val="0"/>
          <c:showSerName val="0"/>
          <c:showPercent val="0"/>
          <c:showBubbleSize val="0"/>
        </c:dLbls>
        <c:gapWidth val="500"/>
        <c:overlap val="8"/>
        <c:axId val="1273459472"/>
        <c:axId val="729947712"/>
      </c:barChart>
      <c:catAx>
        <c:axId val="1273459472"/>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1" i="0" u="none" strike="noStrike" kern="1200" cap="none" spc="2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729947712"/>
        <c:crosses val="autoZero"/>
        <c:auto val="1"/>
        <c:lblAlgn val="ctr"/>
        <c:lblOffset val="100"/>
        <c:noMultiLvlLbl val="0"/>
      </c:catAx>
      <c:valAx>
        <c:axId val="729947712"/>
        <c:scaling>
          <c:orientation val="minMax"/>
          <c:max val="100"/>
        </c:scaling>
        <c:delete val="0"/>
        <c:axPos val="l"/>
        <c:majorGridlines>
          <c:spPr>
            <a:ln w="9525" cap="flat" cmpd="sng" algn="ctr">
              <a:solidFill>
                <a:schemeClr val="tx1">
                  <a:lumMod val="5000"/>
                  <a:lumOff val="9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latin typeface="Times New Roman" panose="02020603050405020304" pitchFamily="18" charset="0"/>
                    <a:cs typeface="Times New Roman" panose="02020603050405020304" pitchFamily="18" charset="0"/>
                  </a:rPr>
                  <a:t>%</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spc="20" baseline="0">
                <a:solidFill>
                  <a:sysClr val="windowText" lastClr="000000"/>
                </a:solidFill>
                <a:latin typeface="+mj-lt"/>
                <a:ea typeface="+mn-ea"/>
                <a:cs typeface="Times New Roman" panose="02020603050405020304" pitchFamily="18" charset="0"/>
              </a:defRPr>
            </a:pPr>
            <a:endParaRPr lang="lt-LT"/>
          </a:p>
        </c:txPr>
        <c:crossAx val="12734594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j-lt"/>
              <a:ea typeface="+mn-ea"/>
              <a:cs typeface="Times New Roman" panose="02020603050405020304" pitchFamily="18" charset="0"/>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lt-LT"/>
    </a:p>
  </c:txPr>
  <c:externalData r:id="rId4">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00" b="1" i="0" u="none" strike="noStrike" kern="1200" cap="none" spc="50" normalizeH="0" baseline="0">
                <a:solidFill>
                  <a:sysClr val="windowText" lastClr="000000"/>
                </a:solidFill>
                <a:latin typeface="Times New Roman" panose="02020603050405020304" pitchFamily="18" charset="0"/>
                <a:ea typeface="+mj-ea"/>
                <a:cs typeface="Times New Roman" panose="02020603050405020304" pitchFamily="18" charset="0"/>
              </a:defRPr>
            </a:pPr>
            <a:r>
              <a:rPr lang="lt-LT" sz="900" b="1">
                <a:solidFill>
                  <a:sysClr val="windowText" lastClr="000000"/>
                </a:solidFill>
                <a:latin typeface="Times New Roman" panose="02020603050405020304" pitchFamily="18" charset="0"/>
                <a:cs typeface="Times New Roman" panose="02020603050405020304" pitchFamily="18" charset="0"/>
              </a:rPr>
              <a:t>Veiklos</a:t>
            </a:r>
            <a:r>
              <a:rPr lang="lt-LT" sz="900" b="1" baseline="0">
                <a:solidFill>
                  <a:sysClr val="windowText" lastClr="000000"/>
                </a:solidFill>
                <a:latin typeface="Times New Roman" panose="02020603050405020304" pitchFamily="18" charset="0"/>
                <a:cs typeface="Times New Roman" panose="02020603050405020304" pitchFamily="18" charset="0"/>
              </a:rPr>
              <a:t> rezultatų suprantamumas paslaugų gavėjų atstovams ir kitoms suinteresuotoms šalims 2024 m.</a:t>
            </a:r>
            <a:endParaRPr lang="lt-LT" sz="900" b="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21083228774571308"/>
          <c:y val="1.1104943050949801E-2"/>
        </c:manualLayout>
      </c:layout>
      <c:overlay val="0"/>
      <c:spPr>
        <a:noFill/>
        <a:ln>
          <a:noFill/>
        </a:ln>
        <a:effectLst/>
      </c:spPr>
      <c:txPr>
        <a:bodyPr rot="0" spcFirstLastPara="1" vertOverflow="ellipsis" vert="horz" wrap="square" anchor="ctr" anchorCtr="1"/>
        <a:lstStyle/>
        <a:p>
          <a:pPr>
            <a:defRPr sz="900" b="1" i="0" u="none" strike="noStrike" kern="1200" cap="none" spc="50" normalizeH="0" baseline="0">
              <a:solidFill>
                <a:sysClr val="windowText" lastClr="000000"/>
              </a:solidFill>
              <a:latin typeface="Times New Roman" panose="02020603050405020304" pitchFamily="18" charset="0"/>
              <a:ea typeface="+mj-ea"/>
              <a:cs typeface="Times New Roman" panose="02020603050405020304" pitchFamily="18" charset="0"/>
            </a:defRPr>
          </a:pPr>
          <a:endParaRPr lang="lt-LT"/>
        </a:p>
      </c:txPr>
    </c:title>
    <c:autoTitleDeleted val="0"/>
    <c:plotArea>
      <c:layout/>
      <c:barChart>
        <c:barDir val="col"/>
        <c:grouping val="clustered"/>
        <c:varyColors val="0"/>
        <c:ser>
          <c:idx val="0"/>
          <c:order val="0"/>
          <c:tx>
            <c:strRef>
              <c:f>Lapas1!$B$1</c:f>
              <c:strCache>
                <c:ptCount val="1"/>
                <c:pt idx="0">
                  <c:v>Paslaugų gavėjų atstovai</c:v>
                </c:pt>
              </c:strCache>
            </c:strRef>
          </c:tx>
          <c:spPr>
            <a:solidFill>
              <a:schemeClr val="accent1">
                <a:alpha val="70000"/>
              </a:schemeClr>
            </a:solidFill>
            <a:ln>
              <a:noFill/>
            </a:ln>
            <a:effectLst/>
          </c:spPr>
          <c:invertIfNegative val="0"/>
          <c:dLbls>
            <c:dLbl>
              <c:idx val="4"/>
              <c:delete val="1"/>
              <c:extLst>
                <c:ext xmlns:c15="http://schemas.microsoft.com/office/drawing/2012/chart" uri="{CE6537A1-D6FC-4f65-9D91-7224C49458BB}"/>
                <c:ext xmlns:c16="http://schemas.microsoft.com/office/drawing/2014/chart" uri="{C3380CC4-5D6E-409C-BE32-E72D297353CC}">
                  <c16:uniqueId val="{00000000-279F-4757-95D6-6317BD196299}"/>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Lapas1!$A$2:$A$5</c:f>
              <c:strCache>
                <c:ptCount val="4"/>
                <c:pt idx="0">
                  <c:v>Labai gerai</c:v>
                </c:pt>
                <c:pt idx="1">
                  <c:v>Gerai</c:v>
                </c:pt>
                <c:pt idx="2">
                  <c:v>Patenkinamai</c:v>
                </c:pt>
                <c:pt idx="3">
                  <c:v>Blogai</c:v>
                </c:pt>
              </c:strCache>
            </c:strRef>
          </c:cat>
          <c:val>
            <c:numRef>
              <c:f>Lapas1!$B$2:$B$5</c:f>
              <c:numCache>
                <c:formatCode>General</c:formatCode>
                <c:ptCount val="4"/>
                <c:pt idx="0">
                  <c:v>61</c:v>
                </c:pt>
                <c:pt idx="1">
                  <c:v>35</c:v>
                </c:pt>
                <c:pt idx="2">
                  <c:v>4</c:v>
                </c:pt>
                <c:pt idx="3">
                  <c:v>0</c:v>
                </c:pt>
              </c:numCache>
            </c:numRef>
          </c:val>
          <c:extLst>
            <c:ext xmlns:c16="http://schemas.microsoft.com/office/drawing/2014/chart" uri="{C3380CC4-5D6E-409C-BE32-E72D297353CC}">
              <c16:uniqueId val="{00000001-279F-4757-95D6-6317BD196299}"/>
            </c:ext>
          </c:extLst>
        </c:ser>
        <c:ser>
          <c:idx val="1"/>
          <c:order val="1"/>
          <c:tx>
            <c:strRef>
              <c:f>Lapas1!$C$1</c:f>
              <c:strCache>
                <c:ptCount val="1"/>
                <c:pt idx="0">
                  <c:v>Įstaigos partneriai</c:v>
                </c:pt>
              </c:strCache>
            </c:strRef>
          </c:tx>
          <c:spPr>
            <a:solidFill>
              <a:schemeClr val="accent2">
                <a:alpha val="70000"/>
              </a:schemeClr>
            </a:solidFill>
            <a:ln>
              <a:noFill/>
            </a:ln>
            <a:effectLst/>
          </c:spPr>
          <c:invertIfNegative val="0"/>
          <c:dLbls>
            <c:dLbl>
              <c:idx val="4"/>
              <c:delete val="1"/>
              <c:extLst>
                <c:ext xmlns:c15="http://schemas.microsoft.com/office/drawing/2012/chart" uri="{CE6537A1-D6FC-4f65-9D91-7224C49458BB}"/>
                <c:ext xmlns:c16="http://schemas.microsoft.com/office/drawing/2014/chart" uri="{C3380CC4-5D6E-409C-BE32-E72D297353CC}">
                  <c16:uniqueId val="{00000002-279F-4757-95D6-6317BD196299}"/>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Lapas1!$A$2:$A$5</c:f>
              <c:strCache>
                <c:ptCount val="4"/>
                <c:pt idx="0">
                  <c:v>Labai gerai</c:v>
                </c:pt>
                <c:pt idx="1">
                  <c:v>Gerai</c:v>
                </c:pt>
                <c:pt idx="2">
                  <c:v>Patenkinamai</c:v>
                </c:pt>
                <c:pt idx="3">
                  <c:v>Blogai</c:v>
                </c:pt>
              </c:strCache>
            </c:strRef>
          </c:cat>
          <c:val>
            <c:numRef>
              <c:f>Lapas1!$C$2:$C$5</c:f>
              <c:numCache>
                <c:formatCode>General</c:formatCode>
                <c:ptCount val="4"/>
                <c:pt idx="0">
                  <c:v>100</c:v>
                </c:pt>
                <c:pt idx="1">
                  <c:v>0</c:v>
                </c:pt>
                <c:pt idx="2">
                  <c:v>0</c:v>
                </c:pt>
                <c:pt idx="3">
                  <c:v>0</c:v>
                </c:pt>
              </c:numCache>
            </c:numRef>
          </c:val>
          <c:extLst>
            <c:ext xmlns:c16="http://schemas.microsoft.com/office/drawing/2014/chart" uri="{C3380CC4-5D6E-409C-BE32-E72D297353CC}">
              <c16:uniqueId val="{00000003-279F-4757-95D6-6317BD196299}"/>
            </c:ext>
          </c:extLst>
        </c:ser>
        <c:ser>
          <c:idx val="2"/>
          <c:order val="2"/>
          <c:tx>
            <c:strRef>
              <c:f>Lapas1!$D$1</c:f>
              <c:strCache>
                <c:ptCount val="1"/>
                <c:pt idx="0">
                  <c:v>Įstaigos steigėjas</c:v>
                </c:pt>
              </c:strCache>
            </c:strRef>
          </c:tx>
          <c:spPr>
            <a:solidFill>
              <a:schemeClr val="accent3">
                <a:alpha val="70000"/>
              </a:schemeClr>
            </a:solidFill>
            <a:ln>
              <a:noFill/>
            </a:ln>
            <a:effectLst/>
          </c:spPr>
          <c:invertIfNegative val="0"/>
          <c:dLbls>
            <c:dLbl>
              <c:idx val="4"/>
              <c:delete val="1"/>
              <c:extLst>
                <c:ext xmlns:c15="http://schemas.microsoft.com/office/drawing/2012/chart" uri="{CE6537A1-D6FC-4f65-9D91-7224C49458BB}"/>
                <c:ext xmlns:c16="http://schemas.microsoft.com/office/drawing/2014/chart" uri="{C3380CC4-5D6E-409C-BE32-E72D297353CC}">
                  <c16:uniqueId val="{00000004-279F-4757-95D6-6317BD196299}"/>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Lapas1!$A$2:$A$5</c:f>
              <c:strCache>
                <c:ptCount val="4"/>
                <c:pt idx="0">
                  <c:v>Labai gerai</c:v>
                </c:pt>
                <c:pt idx="1">
                  <c:v>Gerai</c:v>
                </c:pt>
                <c:pt idx="2">
                  <c:v>Patenkinamai</c:v>
                </c:pt>
                <c:pt idx="3">
                  <c:v>Blogai</c:v>
                </c:pt>
              </c:strCache>
            </c:strRef>
          </c:cat>
          <c:val>
            <c:numRef>
              <c:f>Lapas1!$D$2:$D$5</c:f>
              <c:numCache>
                <c:formatCode>General</c:formatCode>
                <c:ptCount val="4"/>
                <c:pt idx="0">
                  <c:v>100</c:v>
                </c:pt>
                <c:pt idx="1">
                  <c:v>0</c:v>
                </c:pt>
                <c:pt idx="2">
                  <c:v>0</c:v>
                </c:pt>
                <c:pt idx="3">
                  <c:v>0</c:v>
                </c:pt>
              </c:numCache>
            </c:numRef>
          </c:val>
          <c:extLst>
            <c:ext xmlns:c16="http://schemas.microsoft.com/office/drawing/2014/chart" uri="{C3380CC4-5D6E-409C-BE32-E72D297353CC}">
              <c16:uniqueId val="{00000005-279F-4757-95D6-6317BD196299}"/>
            </c:ext>
          </c:extLst>
        </c:ser>
        <c:dLbls>
          <c:dLblPos val="outEnd"/>
          <c:showLegendKey val="0"/>
          <c:showVal val="1"/>
          <c:showCatName val="0"/>
          <c:showSerName val="0"/>
          <c:showPercent val="0"/>
          <c:showBubbleSize val="0"/>
        </c:dLbls>
        <c:gapWidth val="500"/>
        <c:overlap val="8"/>
        <c:axId val="1273459472"/>
        <c:axId val="729947712"/>
      </c:barChart>
      <c:catAx>
        <c:axId val="1273459472"/>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1" i="0" u="none" strike="noStrike" kern="1200" cap="none" spc="2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729947712"/>
        <c:crosses val="autoZero"/>
        <c:auto val="1"/>
        <c:lblAlgn val="ctr"/>
        <c:lblOffset val="100"/>
        <c:noMultiLvlLbl val="0"/>
      </c:catAx>
      <c:valAx>
        <c:axId val="729947712"/>
        <c:scaling>
          <c:orientation val="minMax"/>
          <c:max val="100"/>
        </c:scaling>
        <c:delete val="0"/>
        <c:axPos val="l"/>
        <c:majorGridlines>
          <c:spPr>
            <a:ln w="9525" cap="flat" cmpd="sng" algn="ctr">
              <a:solidFill>
                <a:schemeClr val="tx1">
                  <a:lumMod val="5000"/>
                  <a:lumOff val="9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latin typeface="Times New Roman" panose="02020603050405020304" pitchFamily="18" charset="0"/>
                    <a:cs typeface="Times New Roman" panose="02020603050405020304" pitchFamily="18" charset="0"/>
                  </a:rPr>
                  <a:t>%</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spc="2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12734594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lt-LT"/>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118">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17.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Pasirinktinis 3">
    <a:dk1>
      <a:sysClr val="windowText" lastClr="000000"/>
    </a:dk1>
    <a:lt1>
      <a:sysClr val="window" lastClr="FFFFFF"/>
    </a:lt1>
    <a:dk2>
      <a:srgbClr val="44546A"/>
    </a:dk2>
    <a:lt2>
      <a:srgbClr val="E7E6E6"/>
    </a:lt2>
    <a:accent1>
      <a:srgbClr val="F4B183"/>
    </a:accent1>
    <a:accent2>
      <a:srgbClr val="9CC3E5"/>
    </a:accent2>
    <a:accent3>
      <a:srgbClr val="A568D2"/>
    </a:accent3>
    <a:accent4>
      <a:srgbClr val="70AD47"/>
    </a:accent4>
    <a:accent5>
      <a:srgbClr val="BF9000"/>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Pasirinktinis 3">
    <a:dk1>
      <a:sysClr val="windowText" lastClr="000000"/>
    </a:dk1>
    <a:lt1>
      <a:sysClr val="window" lastClr="FFFFFF"/>
    </a:lt1>
    <a:dk2>
      <a:srgbClr val="44546A"/>
    </a:dk2>
    <a:lt2>
      <a:srgbClr val="E7E6E6"/>
    </a:lt2>
    <a:accent1>
      <a:srgbClr val="F4B183"/>
    </a:accent1>
    <a:accent2>
      <a:srgbClr val="9CC3E5"/>
    </a:accent2>
    <a:accent3>
      <a:srgbClr val="A568D2"/>
    </a:accent3>
    <a:accent4>
      <a:srgbClr val="70AD47"/>
    </a:accent4>
    <a:accent5>
      <a:srgbClr val="BF9000"/>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Pasirinktinis 3">
    <a:dk1>
      <a:sysClr val="windowText" lastClr="000000"/>
    </a:dk1>
    <a:lt1>
      <a:sysClr val="window" lastClr="FFFFFF"/>
    </a:lt1>
    <a:dk2>
      <a:srgbClr val="44546A"/>
    </a:dk2>
    <a:lt2>
      <a:srgbClr val="E7E6E6"/>
    </a:lt2>
    <a:accent1>
      <a:srgbClr val="F4B183"/>
    </a:accent1>
    <a:accent2>
      <a:srgbClr val="9CC3E5"/>
    </a:accent2>
    <a:accent3>
      <a:srgbClr val="A568D2"/>
    </a:accent3>
    <a:accent4>
      <a:srgbClr val="70AD47"/>
    </a:accent4>
    <a:accent5>
      <a:srgbClr val="BF9000"/>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Pasirinktinis 3">
    <a:dk1>
      <a:sysClr val="windowText" lastClr="000000"/>
    </a:dk1>
    <a:lt1>
      <a:sysClr val="window" lastClr="FFFFFF"/>
    </a:lt1>
    <a:dk2>
      <a:srgbClr val="44546A"/>
    </a:dk2>
    <a:lt2>
      <a:srgbClr val="E7E6E6"/>
    </a:lt2>
    <a:accent1>
      <a:srgbClr val="F4B183"/>
    </a:accent1>
    <a:accent2>
      <a:srgbClr val="9CC3E5"/>
    </a:accent2>
    <a:accent3>
      <a:srgbClr val="A568D2"/>
    </a:accent3>
    <a:accent4>
      <a:srgbClr val="70AD47"/>
    </a:accent4>
    <a:accent5>
      <a:srgbClr val="BF9000"/>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Pasirinktinis 3">
    <a:dk1>
      <a:sysClr val="windowText" lastClr="000000"/>
    </a:dk1>
    <a:lt1>
      <a:sysClr val="window" lastClr="FFFFFF"/>
    </a:lt1>
    <a:dk2>
      <a:srgbClr val="44546A"/>
    </a:dk2>
    <a:lt2>
      <a:srgbClr val="E7E6E6"/>
    </a:lt2>
    <a:accent1>
      <a:srgbClr val="F4B183"/>
    </a:accent1>
    <a:accent2>
      <a:srgbClr val="9CC3E5"/>
    </a:accent2>
    <a:accent3>
      <a:srgbClr val="A568D2"/>
    </a:accent3>
    <a:accent4>
      <a:srgbClr val="70AD47"/>
    </a:accent4>
    <a:accent5>
      <a:srgbClr val="BF9000"/>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56</TotalTime>
  <Pages>15</Pages>
  <Words>19332</Words>
  <Characters>11020</Characters>
  <Application>Microsoft Office Word</Application>
  <DocSecurity>0</DocSecurity>
  <Lines>91</Lines>
  <Paragraphs>60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30292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Vadim Verenič</dc:creator>
  <cp:keywords/>
  <dc:description/>
  <cp:lastModifiedBy>Vadim Verenič</cp:lastModifiedBy>
  <cp:revision>3</cp:revision>
  <dcterms:created xsi:type="dcterms:W3CDTF">2024-11-15T12:02:00Z</dcterms:created>
  <dcterms:modified xsi:type="dcterms:W3CDTF">2024-11-21T09:27:00Z</dcterms:modified>
</cp:coreProperties>
</file>